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00" w:lineRule="exact"/>
        <w:rPr>
          <w:rFonts w:hint="eastAsia" w:ascii="黑体" w:hAnsi="黑体" w:eastAsia="黑体" w:cs="黑体"/>
          <w:kern w:val="0"/>
          <w:sz w:val="28"/>
          <w:szCs w:val="28"/>
        </w:rPr>
      </w:pPr>
      <w:r>
        <w:rPr>
          <w:rFonts w:hint="eastAsia" w:ascii="黑体" w:hAnsi="黑体" w:eastAsia="黑体" w:cs="黑体"/>
          <w:kern w:val="0"/>
          <w:sz w:val="28"/>
          <w:szCs w:val="28"/>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清涧</w:t>
      </w:r>
      <w:r>
        <w:rPr>
          <w:rFonts w:hint="eastAsia" w:ascii="方正小标宋简体" w:hAnsi="方正小标宋简体" w:eastAsia="方正小标宋简体" w:cs="方正小标宋简体"/>
          <w:sz w:val="44"/>
          <w:szCs w:val="44"/>
        </w:rPr>
        <w:t>县疫苗安全应急指挥部成员单位职责</w:t>
      </w: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委宣传部：负责把握疫苗安全突发事件新闻报道的正确导向，指导协调新闻单位做好疫苗安全突发事件的新闻报道；指导事件调查处置部门及时发布权威信息。负责把握疫苗安全突发事件网络宣传工作的正确导向，指导协调</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内网站做好疫苗安全突发事件的网络新闻报道；指导事件调查处置部门及时发布权威信息，加强对互联网信息管理和网络舆论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引导。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2.县委政法委：负责指导在疫苗安全突发事件应急处置中可能引发的社会稳定问题。督促协调重大危害疫苗安全类刑事案件依法处理工作。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编办：负责疫苗安全监管部门监管职责、专业技术机构职责的调整和完善。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发展改革</w:t>
      </w:r>
      <w:r>
        <w:rPr>
          <w:rFonts w:hint="eastAsia" w:ascii="仿宋_GB2312" w:hAnsi="仿宋_GB2312" w:eastAsia="仿宋_GB2312" w:cs="仿宋_GB2312"/>
          <w:sz w:val="32"/>
          <w:szCs w:val="32"/>
          <w:lang w:eastAsia="zh-CN"/>
        </w:rPr>
        <w:t>和科技局</w:t>
      </w:r>
      <w:r>
        <w:rPr>
          <w:rFonts w:hint="eastAsia" w:ascii="仿宋_GB2312" w:hAnsi="仿宋_GB2312" w:eastAsia="仿宋_GB2312" w:cs="仿宋_GB2312"/>
          <w:sz w:val="32"/>
          <w:szCs w:val="32"/>
        </w:rPr>
        <w:t>：指导按照规定权限做好疫苗相关项目备案工作</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疫苗安全突发事件处置的科技攻关，为事件处置提供技术支持。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县教</w:t>
      </w:r>
      <w:r>
        <w:rPr>
          <w:rFonts w:hint="eastAsia" w:ascii="仿宋_GB2312" w:hAnsi="仿宋_GB2312" w:eastAsia="仿宋_GB2312" w:cs="仿宋_GB2312"/>
          <w:sz w:val="32"/>
          <w:szCs w:val="32"/>
          <w:shd w:val="clear" w:color="auto" w:fill="FFFFFF"/>
          <w:lang w:eastAsia="zh-CN" w:bidi="ar"/>
        </w:rPr>
        <w:t>体</w:t>
      </w:r>
      <w:r>
        <w:rPr>
          <w:rFonts w:hint="eastAsia" w:ascii="仿宋_GB2312" w:hAnsi="仿宋_GB2312" w:eastAsia="仿宋_GB2312" w:cs="仿宋_GB2312"/>
          <w:sz w:val="32"/>
          <w:szCs w:val="32"/>
          <w:shd w:val="clear" w:color="auto" w:fill="FFFFFF"/>
          <w:lang w:bidi="ar"/>
        </w:rPr>
        <w:t>局：协助处置发生在学校或托幼机构的疫苗安全突发事件，做好在校学生、教职工的宣传教育和自我防护工作。</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县工</w:t>
      </w:r>
      <w:r>
        <w:rPr>
          <w:rFonts w:hint="eastAsia" w:ascii="仿宋_GB2312" w:hAnsi="仿宋_GB2312" w:eastAsia="仿宋_GB2312" w:cs="仿宋_GB2312"/>
          <w:sz w:val="32"/>
          <w:szCs w:val="32"/>
          <w:lang w:eastAsia="zh-CN"/>
        </w:rPr>
        <w:t>贸</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shd w:val="clear" w:color="auto" w:fill="FFFFFF"/>
          <w:lang w:bidi="ar"/>
        </w:rPr>
        <w:t>承担疫苗安全突发事件应急处置中所需药品和医疗器械的保障供应工作。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.县公安局：</w:t>
      </w:r>
      <w:r>
        <w:rPr>
          <w:rFonts w:hint="eastAsia" w:ascii="仿宋_GB2312" w:hAnsi="仿宋_GB2312" w:eastAsia="仿宋_GB2312" w:cs="仿宋_GB2312"/>
          <w:sz w:val="32"/>
          <w:szCs w:val="32"/>
          <w:shd w:val="clear" w:color="auto" w:fill="FFFFFF"/>
          <w:lang w:bidi="ar"/>
        </w:rPr>
        <w:t>负责维护事件处置中的治安秩序；负责</w:t>
      </w:r>
      <w:r>
        <w:rPr>
          <w:rFonts w:hint="eastAsia" w:ascii="仿宋_GB2312" w:hAnsi="仿宋_GB2312" w:eastAsia="仿宋_GB2312" w:cs="仿宋_GB2312"/>
          <w:sz w:val="32"/>
          <w:szCs w:val="32"/>
        </w:rPr>
        <w:t>周边道路交通管制、保障应急救援道路畅通；</w:t>
      </w:r>
      <w:r>
        <w:rPr>
          <w:rFonts w:hint="eastAsia" w:ascii="仿宋_GB2312" w:hAnsi="仿宋_GB2312" w:eastAsia="仿宋_GB2312" w:cs="仿宋_GB2312"/>
          <w:sz w:val="32"/>
          <w:szCs w:val="32"/>
          <w:shd w:val="clear" w:color="auto" w:fill="FFFFFF"/>
          <w:lang w:bidi="ar"/>
        </w:rPr>
        <w:t>负责对涉嫌刑事犯罪行为进行侦办；对发布事件虚假信息、造谣滋事等违法行为依法予以调查处理。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.县司法局：负责疫苗安全突发事件</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县政府决策的法律顾问工作。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.县财政局：负责疫苗安全突发事件应急救援、应急处置的资金保障。</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C00000"/>
          <w:sz w:val="32"/>
          <w:szCs w:val="32"/>
          <w:shd w:val="clear" w:color="auto" w:fill="FFFFFF"/>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.县人社局</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负责适时将疫苗安全突发事件应急处置中作出突出贡献的集体和个人的表彰奖励项目上报</w:t>
      </w:r>
      <w:r>
        <w:rPr>
          <w:rFonts w:hint="eastAsia" w:ascii="仿宋_GB2312" w:hAnsi="仿宋_GB2312" w:eastAsia="仿宋_GB2312" w:cs="仿宋_GB2312"/>
          <w:color w:val="000000"/>
          <w:sz w:val="32"/>
          <w:szCs w:val="32"/>
          <w:shd w:val="clear" w:color="auto" w:fill="FFFFFF"/>
          <w:lang w:eastAsia="zh-CN"/>
        </w:rPr>
        <w:t>市</w:t>
      </w:r>
      <w:r>
        <w:rPr>
          <w:rFonts w:hint="eastAsia" w:ascii="仿宋_GB2312" w:hAnsi="仿宋_GB2312" w:eastAsia="仿宋_GB2312" w:cs="仿宋_GB2312"/>
          <w:color w:val="000000"/>
          <w:sz w:val="32"/>
          <w:szCs w:val="32"/>
          <w:shd w:val="clear" w:color="auto" w:fill="FFFFFF"/>
        </w:rPr>
        <w:t>评比表彰工作协调办公室，批复后开展表彰奖励工作。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.县卫健局：负责组织协调相关医疗机构、疾病预防控制机构和接种单位，开展疫苗安全突发事件患者医疗救治；负责组织疫苗安全事件所需公共卫生应急物资的收储、轮换和日常管理。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县应急管理局</w:t>
      </w:r>
      <w:r>
        <w:rPr>
          <w:rFonts w:hint="eastAsia" w:ascii="仿宋_GB2312" w:hAnsi="仿宋_GB2312" w:eastAsia="仿宋_GB2312" w:cs="仿宋_GB2312"/>
          <w:sz w:val="32"/>
          <w:szCs w:val="32"/>
        </w:rPr>
        <w:t>：负责指导全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疫苗安全突发事件应急预案体系建设；协助有关监管部门组织处置事件引发的次生疫苗安全突发事件。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.县市场监管局：负责</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指挥部办公室日常工作；负责收集和上报疫苗安全突发事件信息；协调有关部门（单位）开展应急处置工作；控制突发事件所涉及的相关疫苗；负责对疫苗安全突发事件进行调查处理和相关技术鉴定等工作；负责依法依规对疫苗安全突发事件所涉及的商标侵权等违法行为进行调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eastAsia="仿宋_GB2312"/>
          <w:szCs w:val="32"/>
        </w:rPr>
        <w:sectPr>
          <w:footerReference r:id="rId3" w:type="default"/>
          <w:pgSz w:w="11906" w:h="16838"/>
          <w:pgMar w:top="2154" w:right="1417" w:bottom="1814" w:left="1814" w:header="851" w:footer="992" w:gutter="0"/>
          <w:pgNumType w:fmt="decimal" w:start="1"/>
          <w:cols w:space="720" w:num="1"/>
          <w:rtlGutter w:val="0"/>
          <w:docGrid w:type="linesAndChars" w:linePitch="292" w:charSpace="-2630"/>
        </w:sect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县地方金融</w:t>
      </w:r>
      <w:r>
        <w:rPr>
          <w:rFonts w:hint="eastAsia" w:ascii="仿宋_GB2312" w:hAnsi="仿宋_GB2312" w:eastAsia="仿宋_GB2312" w:cs="仿宋_GB2312"/>
          <w:sz w:val="32"/>
          <w:szCs w:val="32"/>
          <w:lang w:val="en-US" w:eastAsia="zh-CN"/>
        </w:rPr>
        <w:t>服务中心</w:t>
      </w:r>
      <w:r>
        <w:rPr>
          <w:rFonts w:hint="eastAsia" w:ascii="仿宋_GB2312" w:hAnsi="仿宋_GB2312" w:eastAsia="仿宋_GB2312" w:cs="仿宋_GB2312"/>
          <w:sz w:val="32"/>
          <w:szCs w:val="32"/>
        </w:rPr>
        <w:t>：负责督促</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内各保险机构及时开展疫苗安全</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相关保险理赔。</w:t>
      </w: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- 2 -</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7"/>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Style w:val="7"/>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widowControl/>
                            <w:snapToGrid w:val="0"/>
                            <w:jc w:val="left"/>
                            <w:textAlignment w:val="baseline"/>
                            <w:rPr>
                              <w:rStyle w:val="7"/>
                              <w:kern w:val="2"/>
                              <w:sz w:val="18"/>
                              <w:szCs w:val="24"/>
                              <w:lang w:val="en-US" w:eastAsia="zh-CN" w:bidi="ar-SA"/>
                            </w:rPr>
                          </w:pPr>
                        </w:p>
                        <w:p>
                          <w:pPr>
                            <w:jc w:val="both"/>
                            <w:textAlignment w:val="baseline"/>
                            <w:rPr>
                              <w:rStyle w:val="7"/>
                              <w:kern w:val="2"/>
                              <w:sz w:val="21"/>
                              <w:szCs w:val="24"/>
                              <w:lang w:val="en-US" w:eastAsia="zh-CN" w:bidi="ar-SA"/>
                            </w:rPr>
                          </w:pPr>
                        </w:p>
                      </w:txbxContent>
                    </wps:txbx>
                    <wps:bodyPr lIns="0" tIns="0" rIns="0" bIns="0" upright="true"/>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ZpPZA0gAA&#10;AAUBAAAPAAAAAAAAAAEAIAAAADgAAABkcnMvZG93bnJldi54bWxQSwECFAAUAAAACACHTuJAR0yV&#10;l5wBAAArAwAADgAAAAAAAAABACAAAAA3AQAAZHJzL2Uyb0RvYy54bWxQSwUGAAAAAAYABgBZAQAA&#10;RQUAAAAA&#10;">
              <v:fill on="f" focussize="0,0"/>
              <v:stroke on="f"/>
              <v:imagedata o:title=""/>
              <o:lock v:ext="edit" aspectratio="f"/>
              <v:textbox inset="0mm,0mm,0mm,0mm">
                <w:txbxContent>
                  <w:p>
                    <w:pPr>
                      <w:pStyle w:val="4"/>
                      <w:widowControl/>
                      <w:snapToGrid w:val="0"/>
                      <w:jc w:val="left"/>
                      <w:textAlignment w:val="baseline"/>
                      <w:rPr>
                        <w:rStyle w:val="7"/>
                        <w:kern w:val="2"/>
                        <w:sz w:val="18"/>
                        <w:szCs w:val="24"/>
                        <w:lang w:val="en-US" w:eastAsia="zh-CN" w:bidi="ar-SA"/>
                      </w:rPr>
                    </w:pPr>
                  </w:p>
                  <w:p>
                    <w:pPr>
                      <w:jc w:val="both"/>
                      <w:textAlignment w:val="baseline"/>
                      <w:rPr>
                        <w:rStyle w:val="7"/>
                        <w:kern w:val="2"/>
                        <w:sz w:val="21"/>
                        <w:szCs w:val="24"/>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8"/>
      <w:suff w:val="nothing"/>
      <w:lvlText w:val="%1."/>
      <w:lvlJc w:val="left"/>
      <w:pPr>
        <w:widowControl/>
        <w:tabs>
          <w:tab w:val="left" w:pos="420"/>
        </w:tabs>
        <w:ind w:left="425" w:hanging="425"/>
        <w:textAlignment w:val="baseline"/>
      </w:pPr>
    </w:lvl>
    <w:lvl w:ilvl="1" w:tentative="0">
      <w:start w:val="1"/>
      <w:numFmt w:val="decimal"/>
      <w:suff w:val="nothing"/>
      <w:lvlText w:val="%1.%2."/>
      <w:lvlJc w:val="left"/>
      <w:pPr>
        <w:widowControl/>
        <w:tabs>
          <w:tab w:val="left" w:pos="420"/>
        </w:tabs>
        <w:ind w:left="567" w:hanging="567"/>
        <w:textAlignment w:val="baseline"/>
      </w:pPr>
    </w:lvl>
    <w:lvl w:ilvl="2" w:tentative="0">
      <w:start w:val="1"/>
      <w:numFmt w:val="decimal"/>
      <w:lvlText w:val="%1.%2.%3."/>
      <w:lvlJc w:val="left"/>
      <w:pPr>
        <w:widowControl/>
        <w:ind w:left="709" w:hanging="709"/>
        <w:textAlignment w:val="baseline"/>
      </w:pPr>
    </w:lvl>
    <w:lvl w:ilvl="3" w:tentative="0">
      <w:start w:val="1"/>
      <w:numFmt w:val="decimal"/>
      <w:lvlText w:val="%1.%2.%3.%4."/>
      <w:lvlJc w:val="left"/>
      <w:pPr>
        <w:widowControl/>
        <w:ind w:left="850" w:hanging="850"/>
        <w:textAlignment w:val="baseline"/>
      </w:pPr>
    </w:lvl>
    <w:lvl w:ilvl="4" w:tentative="0">
      <w:start w:val="1"/>
      <w:numFmt w:val="decimal"/>
      <w:lvlText w:val="%1.%2.%3.%4.%5."/>
      <w:lvlJc w:val="left"/>
      <w:pPr>
        <w:widowControl/>
        <w:ind w:left="991" w:hanging="991"/>
        <w:textAlignment w:val="baseline"/>
      </w:pPr>
    </w:lvl>
    <w:lvl w:ilvl="5" w:tentative="0">
      <w:start w:val="1"/>
      <w:numFmt w:val="decimal"/>
      <w:lvlText w:val="%1.%2.%3.%4.%5.%6."/>
      <w:lvlJc w:val="left"/>
      <w:pPr>
        <w:widowControl/>
        <w:ind w:left="1134" w:hanging="1134"/>
        <w:textAlignment w:val="baseline"/>
      </w:pPr>
    </w:lvl>
    <w:lvl w:ilvl="6" w:tentative="0">
      <w:start w:val="1"/>
      <w:numFmt w:val="decimal"/>
      <w:lvlText w:val="%1.%2.%3.%4.%5.%6.%7."/>
      <w:lvlJc w:val="left"/>
      <w:pPr>
        <w:widowControl/>
        <w:ind w:left="1275" w:hanging="1275"/>
        <w:textAlignment w:val="baseline"/>
      </w:pPr>
    </w:lvl>
    <w:lvl w:ilvl="7" w:tentative="0">
      <w:start w:val="1"/>
      <w:numFmt w:val="decimal"/>
      <w:lvlText w:val="%1.%2.%3.%4.%5.%6.%7.%8."/>
      <w:lvlJc w:val="left"/>
      <w:pPr>
        <w:widowControl/>
        <w:ind w:left="1418" w:hanging="1418"/>
        <w:textAlignment w:val="baseline"/>
      </w:pPr>
    </w:lvl>
    <w:lvl w:ilvl="8" w:tentative="0">
      <w:start w:val="1"/>
      <w:numFmt w:val="decimal"/>
      <w:lvlText w:val="%1.%2.%3.%4.%5.%6.%7.%8.%9."/>
      <w:lvlJc w:val="left"/>
      <w:pPr>
        <w:widowControl/>
        <w:ind w:left="1558" w:hanging="1558"/>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BBE4C"/>
    <w:rsid w:val="5FF2E6E9"/>
    <w:rsid w:val="7BFBBE4C"/>
    <w:rsid w:val="7E7FF826"/>
    <w:rsid w:val="9BFB4808"/>
    <w:rsid w:val="B3DF870E"/>
    <w:rsid w:val="B7FEDE83"/>
    <w:rsid w:val="D3BFE6EB"/>
    <w:rsid w:val="DFBF4E20"/>
    <w:rsid w:val="E12F912D"/>
    <w:rsid w:val="FFEBA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仿宋" w:hAnsi="仿宋" w:eastAsia="宋体" w:cs="Times New Roman"/>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NormalCharacter"/>
    <w:link w:val="1"/>
    <w:qFormat/>
    <w:uiPriority w:val="0"/>
    <w:rPr>
      <w:rFonts w:ascii="仿宋" w:hAnsi="仿宋" w:eastAsia="宋体" w:cs="Times New Roman"/>
      <w:kern w:val="2"/>
      <w:sz w:val="32"/>
      <w:lang w:val="en-US" w:eastAsia="zh-CN"/>
    </w:rPr>
  </w:style>
  <w:style w:type="paragraph" w:customStyle="1" w:styleId="8">
    <w:name w:val="Heading1"/>
    <w:basedOn w:val="1"/>
    <w:next w:val="1"/>
    <w:qFormat/>
    <w:uiPriority w:val="0"/>
    <w:pPr>
      <w:keepNext/>
      <w:keepLines/>
      <w:numPr>
        <w:ilvl w:val="0"/>
        <w:numId w:val="1"/>
      </w:numPr>
      <w:spacing w:line="360" w:lineRule="auto"/>
      <w:jc w:val="both"/>
      <w:textAlignment w:val="baseline"/>
    </w:pPr>
    <w:rPr>
      <w:rFonts w:eastAsia="黑体"/>
      <w:b/>
      <w:kern w:val="44"/>
      <w:sz w:val="21"/>
      <w:szCs w:val="24"/>
      <w:lang w:val="en-US" w:eastAsia="zh-CN" w:bidi="ar-SA"/>
    </w:rPr>
  </w:style>
  <w:style w:type="paragraph" w:customStyle="1" w:styleId="9">
    <w:name w:val="NormalIndent"/>
    <w:basedOn w:val="1"/>
    <w:qFormat/>
    <w:uiPriority w:val="0"/>
    <w:pPr>
      <w:ind w:firstLine="420" w:firstLineChars="200"/>
      <w:jc w:val="both"/>
      <w:textAlignment w:val="baseline"/>
    </w:pPr>
  </w:style>
  <w:style w:type="paragraph" w:customStyle="1" w:styleId="10">
    <w:name w:val="BodyTextIndent2"/>
    <w:basedOn w:val="1"/>
    <w:qFormat/>
    <w:uiPriority w:val="0"/>
    <w:pPr>
      <w:spacing w:after="120" w:line="480" w:lineRule="auto"/>
      <w:ind w:left="420" w:leftChars="200"/>
      <w:jc w:val="both"/>
      <w:textAlignment w:val="baseline"/>
    </w:pPr>
    <w:rPr>
      <w:rFonts w:ascii="Times New Roman" w:hAnsi="Times New Roman"/>
      <w:kern w:val="2"/>
      <w:sz w:val="21"/>
      <w:szCs w:val="24"/>
      <w:lang w:val="en-US" w:eastAsia="zh-CN" w:bidi="ar-SA"/>
    </w:rPr>
  </w:style>
  <w:style w:type="paragraph" w:customStyle="1" w:styleId="11">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2022-01-07T14:43:00Z</dcterms:created>
  <dc:creator>xc-201009285</dc:creator>
  <cp:lastModifiedBy>xc-201009285</cp:lastModifiedBy>
  <dcterms:modified xsi:type="dcterms:W3CDTF">2022-01-07T15:05:11Z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