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500" w:lineRule="exact"/>
        <w:rPr>
          <w:rFonts w:hint="eastAsia" w:ascii="黑体" w:hAnsi="黑体" w:eastAsia="黑体" w:cs="黑体"/>
          <w:kern w:val="0"/>
          <w:sz w:val="28"/>
          <w:szCs w:val="28"/>
        </w:rPr>
      </w:pPr>
      <w:r>
        <w:rPr>
          <w:rFonts w:hint="eastAsia" w:ascii="黑体" w:hAnsi="黑体" w:eastAsia="黑体" w:cs="黑体"/>
          <w:kern w:val="0"/>
          <w:sz w:val="28"/>
          <w:szCs w:val="28"/>
        </w:rPr>
        <w:t>附件1</w:t>
      </w:r>
    </w:p>
    <w:p>
      <w:pPr>
        <w:keepNext/>
        <w:keepLines/>
        <w:spacing w:line="640" w:lineRule="exact"/>
        <w:jc w:val="center"/>
        <w:rPr>
          <w:rFonts w:eastAsia="方正小标宋简体"/>
          <w:sz w:val="44"/>
          <w:szCs w:val="44"/>
        </w:rPr>
      </w:pPr>
      <w:r>
        <w:rPr>
          <w:rFonts w:hint="eastAsia" w:ascii="方正小标宋简体" w:eastAsia="方正小标宋简体"/>
          <w:kern w:val="0"/>
          <w:sz w:val="44"/>
          <w:szCs w:val="44"/>
          <w:lang w:val="en-US" w:eastAsia="zh-CN"/>
        </w:rPr>
        <w:t>清涧</w:t>
      </w:r>
      <w:r>
        <w:rPr>
          <w:rFonts w:hint="eastAsia" w:ascii="方正小标宋简体" w:eastAsia="方正小标宋简体"/>
          <w:kern w:val="0"/>
          <w:sz w:val="44"/>
          <w:szCs w:val="44"/>
        </w:rPr>
        <w:t>县</w:t>
      </w:r>
      <w:r>
        <w:rPr>
          <w:rFonts w:eastAsia="方正小标宋简体"/>
          <w:kern w:val="0"/>
          <w:sz w:val="44"/>
          <w:szCs w:val="44"/>
          <w:shd w:val="clear" w:color="auto" w:fill="FFFFFF"/>
          <w:lang w:bidi="ar"/>
        </w:rPr>
        <w:t>疫苗安全突发事件分级响应标准</w:t>
      </w:r>
    </w:p>
    <w:tbl>
      <w:tblPr>
        <w:tblStyle w:val="5"/>
        <w:tblW w:w="0" w:type="auto"/>
        <w:tblInd w:w="-12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90"/>
        <w:gridCol w:w="405"/>
        <w:gridCol w:w="7302"/>
        <w:gridCol w:w="707"/>
        <w:gridCol w:w="5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95" w:type="dxa"/>
            <w:gridSpan w:val="2"/>
            <w:tcBorders>
              <w:top w:val="single" w:color="auto" w:sz="8" w:space="0"/>
              <w:left w:val="single" w:color="auto" w:sz="8" w:space="0"/>
              <w:bottom w:val="single" w:color="auto" w:sz="8" w:space="0"/>
              <w:right w:val="single" w:color="auto" w:sz="8" w:space="0"/>
            </w:tcBorders>
            <w:noWrap w:val="0"/>
            <w:vAlign w:val="center"/>
          </w:tcPr>
          <w:p>
            <w:pPr>
              <w:keepNext/>
              <w:keepLines/>
              <w:spacing w:line="280" w:lineRule="exact"/>
              <w:jc w:val="center"/>
              <w:rPr>
                <w:rFonts w:eastAsia="仿宋_GB2312"/>
                <w:b/>
                <w:bCs/>
                <w:kern w:val="0"/>
                <w:sz w:val="24"/>
                <w:lang w:bidi="ar"/>
              </w:rPr>
            </w:pPr>
            <w:r>
              <w:rPr>
                <w:rFonts w:eastAsia="仿宋_GB2312"/>
                <w:b/>
                <w:bCs/>
                <w:kern w:val="0"/>
                <w:sz w:val="24"/>
                <w:shd w:val="clear" w:color="auto" w:fill="FFFFFF"/>
                <w:lang w:bidi="ar"/>
              </w:rPr>
              <w:t>分级</w:t>
            </w:r>
          </w:p>
        </w:tc>
        <w:tc>
          <w:tcPr>
            <w:tcW w:w="7302" w:type="dxa"/>
            <w:tcBorders>
              <w:top w:val="single" w:color="333333" w:sz="6" w:space="0"/>
              <w:left w:val="single" w:color="333333" w:sz="6" w:space="0"/>
              <w:bottom w:val="single" w:color="333333" w:sz="6" w:space="0"/>
              <w:right w:val="single" w:color="333333" w:sz="6" w:space="0"/>
            </w:tcBorders>
            <w:noWrap w:val="0"/>
            <w:vAlign w:val="center"/>
          </w:tcPr>
          <w:p>
            <w:pPr>
              <w:keepNext/>
              <w:keepLines/>
              <w:spacing w:line="280" w:lineRule="exact"/>
              <w:jc w:val="center"/>
              <w:rPr>
                <w:rFonts w:hint="eastAsia" w:eastAsia="仿宋_GB2312"/>
                <w:b/>
                <w:bCs/>
                <w:sz w:val="24"/>
              </w:rPr>
            </w:pPr>
            <w:r>
              <w:rPr>
                <w:rFonts w:eastAsia="仿宋_GB2312"/>
                <w:b/>
                <w:bCs/>
                <w:kern w:val="0"/>
                <w:sz w:val="24"/>
                <w:lang w:bidi="ar"/>
              </w:rPr>
              <w:t>标 准</w:t>
            </w:r>
          </w:p>
        </w:tc>
        <w:tc>
          <w:tcPr>
            <w:tcW w:w="707" w:type="dxa"/>
            <w:tcBorders>
              <w:top w:val="single" w:color="333333" w:sz="6" w:space="0"/>
              <w:left w:val="single" w:color="333333" w:sz="6" w:space="0"/>
              <w:bottom w:val="single" w:color="333333" w:sz="6" w:space="0"/>
              <w:right w:val="single" w:color="auto" w:sz="4" w:space="0"/>
            </w:tcBorders>
            <w:noWrap w:val="0"/>
            <w:vAlign w:val="center"/>
          </w:tcPr>
          <w:p>
            <w:pPr>
              <w:keepNext/>
              <w:keepLines/>
              <w:spacing w:line="280" w:lineRule="exact"/>
              <w:jc w:val="center"/>
              <w:rPr>
                <w:rFonts w:eastAsia="仿宋_GB2312"/>
                <w:b/>
                <w:bCs/>
                <w:sz w:val="24"/>
              </w:rPr>
            </w:pPr>
            <w:r>
              <w:rPr>
                <w:rFonts w:eastAsia="仿宋_GB2312"/>
                <w:b/>
                <w:bCs/>
                <w:kern w:val="0"/>
                <w:sz w:val="24"/>
                <w:lang w:bidi="ar"/>
              </w:rPr>
              <w:t>响应级别</w:t>
            </w:r>
          </w:p>
        </w:tc>
        <w:tc>
          <w:tcPr>
            <w:tcW w:w="525" w:type="dxa"/>
            <w:tcBorders>
              <w:top w:val="single" w:color="333333" w:sz="6" w:space="0"/>
              <w:left w:val="single" w:color="auto" w:sz="4" w:space="0"/>
              <w:bottom w:val="single" w:color="333333" w:sz="6" w:space="0"/>
              <w:right w:val="single" w:color="333333" w:sz="6" w:space="0"/>
            </w:tcBorders>
            <w:noWrap w:val="0"/>
            <w:vAlign w:val="center"/>
          </w:tcPr>
          <w:p>
            <w:pPr>
              <w:keepNext/>
              <w:keepLines/>
              <w:spacing w:line="280" w:lineRule="exact"/>
              <w:jc w:val="center"/>
              <w:rPr>
                <w:rFonts w:eastAsia="仿宋_GB2312"/>
                <w:b/>
                <w:bCs/>
                <w:kern w:val="0"/>
                <w:sz w:val="24"/>
                <w:lang w:bidi="ar"/>
              </w:rPr>
            </w:pPr>
            <w:r>
              <w:rPr>
                <w:rFonts w:eastAsia="仿宋_GB2312"/>
                <w:b/>
                <w:bCs/>
                <w:kern w:val="0"/>
                <w:sz w:val="24"/>
                <w:lang w:bidi="ar"/>
              </w:rPr>
              <w:t>启动级别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90" w:type="dxa"/>
            <w:vMerge w:val="restart"/>
            <w:tcBorders>
              <w:top w:val="single" w:color="333333" w:sz="6" w:space="0"/>
              <w:left w:val="single" w:color="333333" w:sz="6" w:space="0"/>
              <w:right w:val="single" w:color="auto" w:sz="4" w:space="0"/>
            </w:tcBorders>
            <w:noWrap w:val="0"/>
            <w:vAlign w:val="center"/>
          </w:tcPr>
          <w:p>
            <w:pPr>
              <w:keepNext/>
              <w:keepLines/>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shd w:val="clear" w:color="auto" w:fill="FFFFFF"/>
                <w:lang w:bidi="ar"/>
              </w:rPr>
              <w:t>级别</w:t>
            </w:r>
          </w:p>
        </w:tc>
        <w:tc>
          <w:tcPr>
            <w:tcW w:w="405" w:type="dxa"/>
            <w:tcBorders>
              <w:top w:val="single" w:color="333333" w:sz="6" w:space="0"/>
              <w:left w:val="single" w:color="auto" w:sz="4" w:space="0"/>
              <w:bottom w:val="single" w:color="333333" w:sz="6" w:space="0"/>
              <w:right w:val="single" w:color="333333" w:sz="6" w:space="0"/>
            </w:tcBorders>
            <w:noWrap w:val="0"/>
            <w:vAlign w:val="center"/>
          </w:tcPr>
          <w:p>
            <w:pPr>
              <w:keepNext/>
              <w:keepLines/>
              <w:spacing w:line="280" w:lineRule="exact"/>
              <w:jc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特别重大</w:t>
            </w:r>
          </w:p>
        </w:tc>
        <w:tc>
          <w:tcPr>
            <w:tcW w:w="7302" w:type="dxa"/>
            <w:tcBorders>
              <w:top w:val="single" w:color="333333" w:sz="6" w:space="0"/>
              <w:left w:val="single" w:color="333333" w:sz="6" w:space="0"/>
              <w:bottom w:val="single" w:color="333333" w:sz="6" w:space="0"/>
              <w:right w:val="single" w:color="333333" w:sz="6" w:space="0"/>
            </w:tcBorders>
            <w:noWrap w:val="0"/>
            <w:vAlign w:val="center"/>
          </w:tcPr>
          <w:p>
            <w:pPr>
              <w:keepNext/>
              <w:keepLines/>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1.同一批号疫苗短期内引起5例以上患者死亡，疑似与质量相关的事件；</w:t>
            </w:r>
          </w:p>
          <w:p>
            <w:pPr>
              <w:keepNext/>
              <w:keepLines/>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2.在相对集中的时间和区域内，批号相对集中的同一疫苗引起临床表现相似的，且罕见或非预期的不良事件的人数超过20人；或者引起特别严重不良事件（可能对人体造成永久性伤残、对器官功能造成永久性损伤或危及生命）超过5人，疑似与质量相关的事件；</w:t>
            </w:r>
          </w:p>
          <w:p>
            <w:pPr>
              <w:keepNext/>
              <w:keepLines/>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3.其他危害特别严重且引发社会影响的疫苗质量安全突发事件。</w:t>
            </w:r>
          </w:p>
        </w:tc>
        <w:tc>
          <w:tcPr>
            <w:tcW w:w="707" w:type="dxa"/>
            <w:tcBorders>
              <w:top w:val="single" w:color="333333" w:sz="6" w:space="0"/>
              <w:left w:val="single" w:color="333333" w:sz="6" w:space="0"/>
              <w:bottom w:val="single" w:color="333333" w:sz="6" w:space="0"/>
              <w:right w:val="single" w:color="auto" w:sz="4" w:space="0"/>
            </w:tcBorders>
            <w:noWrap w:val="0"/>
            <w:vAlign w:val="center"/>
          </w:tcPr>
          <w:p>
            <w:pPr>
              <w:keepNext/>
              <w:keepLines/>
              <w:spacing w:line="280" w:lineRule="exact"/>
              <w:jc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Ⅰ级</w:t>
            </w:r>
          </w:p>
          <w:p>
            <w:pPr>
              <w:keepNext/>
              <w:keepLines/>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响应</w:t>
            </w:r>
          </w:p>
        </w:tc>
        <w:tc>
          <w:tcPr>
            <w:tcW w:w="525" w:type="dxa"/>
            <w:tcBorders>
              <w:top w:val="single" w:color="333333" w:sz="6" w:space="0"/>
              <w:left w:val="single" w:color="auto" w:sz="4" w:space="0"/>
              <w:bottom w:val="single" w:color="333333" w:sz="6" w:space="0"/>
              <w:right w:val="single" w:color="333333" w:sz="6" w:space="0"/>
            </w:tcBorders>
            <w:noWrap w:val="0"/>
            <w:vAlign w:val="center"/>
          </w:tcPr>
          <w:p>
            <w:pPr>
              <w:keepNext/>
              <w:keepLines/>
              <w:spacing w:line="280" w:lineRule="exact"/>
              <w:jc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国家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90" w:type="dxa"/>
            <w:vMerge w:val="continue"/>
            <w:tcBorders>
              <w:left w:val="single" w:color="333333" w:sz="6" w:space="0"/>
              <w:right w:val="single" w:color="auto" w:sz="4" w:space="0"/>
            </w:tcBorders>
            <w:noWrap w:val="0"/>
            <w:vAlign w:val="center"/>
          </w:tcPr>
          <w:p>
            <w:pPr>
              <w:keepNext/>
              <w:keepLines/>
              <w:spacing w:line="280" w:lineRule="exact"/>
              <w:jc w:val="center"/>
              <w:rPr>
                <w:rFonts w:hint="eastAsia" w:ascii="仿宋_GB2312" w:hAnsi="仿宋_GB2312" w:eastAsia="仿宋_GB2312" w:cs="仿宋_GB2312"/>
                <w:sz w:val="24"/>
              </w:rPr>
            </w:pPr>
          </w:p>
        </w:tc>
        <w:tc>
          <w:tcPr>
            <w:tcW w:w="405" w:type="dxa"/>
            <w:tcBorders>
              <w:top w:val="single" w:color="333333" w:sz="6" w:space="0"/>
              <w:left w:val="single" w:color="auto" w:sz="4" w:space="0"/>
              <w:bottom w:val="single" w:color="333333" w:sz="6" w:space="0"/>
              <w:right w:val="single" w:color="333333" w:sz="6" w:space="0"/>
            </w:tcBorders>
            <w:noWrap w:val="0"/>
            <w:vAlign w:val="center"/>
          </w:tcPr>
          <w:p>
            <w:pPr>
              <w:keepNext/>
              <w:keepLines/>
              <w:spacing w:line="280" w:lineRule="exact"/>
              <w:jc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重大</w:t>
            </w:r>
          </w:p>
        </w:tc>
        <w:tc>
          <w:tcPr>
            <w:tcW w:w="7302" w:type="dxa"/>
            <w:tcBorders>
              <w:top w:val="single" w:color="333333" w:sz="6" w:space="0"/>
              <w:left w:val="single" w:color="333333" w:sz="6" w:space="0"/>
              <w:bottom w:val="single" w:color="333333" w:sz="6" w:space="0"/>
              <w:right w:val="single" w:color="333333" w:sz="6" w:space="0"/>
            </w:tcBorders>
            <w:noWrap w:val="0"/>
            <w:vAlign w:val="center"/>
          </w:tcPr>
          <w:p>
            <w:pPr>
              <w:keepNext/>
              <w:keepLines/>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1.同一批号疫苗短期内引起2例以上、5例以下患者死亡，疑似与质量相关的事件；</w:t>
            </w:r>
          </w:p>
          <w:p>
            <w:pPr>
              <w:keepNext/>
              <w:keepLines/>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2.在相对集中的时间和区域内，批号相对集中的同一疫苗引起临床表现相似的，且罕见或非预期的不良事件的人数超过10人、不多于20人；或者引起特别严重不良事件（可能对人体造成永久性伤残、对器官功能造成永久性损伤或危及生命）超过3人、不多于5人，疑似与质量相关的事件；</w:t>
            </w:r>
          </w:p>
          <w:p>
            <w:pPr>
              <w:keepNext/>
              <w:keepLines/>
              <w:spacing w:line="340" w:lineRule="exact"/>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3.确认出现质量问题，涉及2个以上省份的；</w:t>
            </w:r>
          </w:p>
          <w:p>
            <w:pPr>
              <w:keepNext/>
              <w:keepLines/>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4.其他危害严重且引发社会影响的疫苗质量安全突发事件。</w:t>
            </w:r>
          </w:p>
        </w:tc>
        <w:tc>
          <w:tcPr>
            <w:tcW w:w="707" w:type="dxa"/>
            <w:tcBorders>
              <w:top w:val="single" w:color="333333" w:sz="6" w:space="0"/>
              <w:left w:val="single" w:color="333333" w:sz="6" w:space="0"/>
              <w:bottom w:val="single" w:color="333333" w:sz="6" w:space="0"/>
              <w:right w:val="single" w:color="auto" w:sz="4" w:space="0"/>
            </w:tcBorders>
            <w:noWrap w:val="0"/>
            <w:vAlign w:val="center"/>
          </w:tcPr>
          <w:p>
            <w:pPr>
              <w:keepNext/>
              <w:keepLines/>
              <w:spacing w:line="280" w:lineRule="exact"/>
              <w:jc w:val="center"/>
              <w:rPr>
                <w:rFonts w:hint="eastAsia" w:ascii="仿宋_GB2312" w:hAnsi="仿宋_GB2312" w:eastAsia="仿宋_GB2312" w:cs="仿宋_GB2312"/>
                <w:kern w:val="0"/>
                <w:sz w:val="24"/>
                <w:lang w:bidi="ar"/>
              </w:rPr>
            </w:pPr>
            <w:r>
              <w:rPr>
                <w:rFonts w:hint="eastAsia" w:ascii="仿宋_GB2312" w:hAnsi="仿宋_GB2312" w:eastAsia="仿宋_GB2312" w:cs="仿宋_GB2312"/>
                <w:bCs/>
                <w:kern w:val="0"/>
                <w:sz w:val="24"/>
                <w:lang w:bidi="ar"/>
              </w:rPr>
              <w:t>Ⅱ</w:t>
            </w:r>
            <w:r>
              <w:rPr>
                <w:rFonts w:hint="eastAsia" w:ascii="仿宋_GB2312" w:hAnsi="仿宋_GB2312" w:eastAsia="仿宋_GB2312" w:cs="仿宋_GB2312"/>
                <w:kern w:val="0"/>
                <w:sz w:val="24"/>
                <w:lang w:bidi="ar"/>
              </w:rPr>
              <w:t>级</w:t>
            </w:r>
          </w:p>
          <w:p>
            <w:pPr>
              <w:keepNext/>
              <w:keepLines/>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响应</w:t>
            </w:r>
          </w:p>
        </w:tc>
        <w:tc>
          <w:tcPr>
            <w:tcW w:w="525" w:type="dxa"/>
            <w:tcBorders>
              <w:top w:val="single" w:color="333333" w:sz="6" w:space="0"/>
              <w:left w:val="single" w:color="auto" w:sz="4" w:space="0"/>
              <w:bottom w:val="single" w:color="333333" w:sz="6" w:space="0"/>
              <w:right w:val="single" w:color="333333" w:sz="6" w:space="0"/>
            </w:tcBorders>
            <w:noWrap w:val="0"/>
            <w:vAlign w:val="center"/>
          </w:tcPr>
          <w:p>
            <w:pPr>
              <w:keepNext/>
              <w:keepLines/>
              <w:spacing w:line="280" w:lineRule="exact"/>
              <w:jc w:val="center"/>
              <w:rPr>
                <w:rFonts w:hint="eastAsia" w:ascii="仿宋_GB2312" w:hAnsi="仿宋_GB2312" w:eastAsia="仿宋_GB2312" w:cs="仿宋_GB2312"/>
                <w:bCs/>
                <w:kern w:val="0"/>
                <w:sz w:val="24"/>
                <w:lang w:bidi="ar"/>
              </w:rPr>
            </w:pPr>
            <w:r>
              <w:rPr>
                <w:rFonts w:hint="eastAsia" w:ascii="仿宋_GB2312" w:hAnsi="仿宋_GB2312" w:eastAsia="仿宋_GB2312" w:cs="仿宋_GB2312"/>
                <w:bCs/>
                <w:kern w:val="0"/>
                <w:sz w:val="24"/>
                <w:lang w:bidi="ar"/>
              </w:rPr>
              <w:t>国家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390" w:type="dxa"/>
            <w:vMerge w:val="continue"/>
            <w:tcBorders>
              <w:left w:val="single" w:color="333333" w:sz="6" w:space="0"/>
              <w:right w:val="single" w:color="auto" w:sz="4" w:space="0"/>
            </w:tcBorders>
            <w:noWrap w:val="0"/>
            <w:vAlign w:val="center"/>
          </w:tcPr>
          <w:p>
            <w:pPr>
              <w:keepNext/>
              <w:keepLines/>
              <w:spacing w:line="280" w:lineRule="exact"/>
              <w:jc w:val="center"/>
              <w:rPr>
                <w:rFonts w:hint="eastAsia" w:ascii="仿宋_GB2312" w:hAnsi="仿宋_GB2312" w:eastAsia="仿宋_GB2312" w:cs="仿宋_GB2312"/>
                <w:sz w:val="24"/>
              </w:rPr>
            </w:pPr>
          </w:p>
        </w:tc>
        <w:tc>
          <w:tcPr>
            <w:tcW w:w="405" w:type="dxa"/>
            <w:tcBorders>
              <w:top w:val="single" w:color="333333" w:sz="6" w:space="0"/>
              <w:left w:val="single" w:color="auto" w:sz="4" w:space="0"/>
              <w:bottom w:val="single" w:color="333333" w:sz="6" w:space="0"/>
              <w:right w:val="single" w:color="333333" w:sz="6" w:space="0"/>
            </w:tcBorders>
            <w:noWrap w:val="0"/>
            <w:vAlign w:val="center"/>
          </w:tcPr>
          <w:p>
            <w:pPr>
              <w:keepNext/>
              <w:keepLines/>
              <w:spacing w:line="280" w:lineRule="exact"/>
              <w:jc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较大</w:t>
            </w:r>
          </w:p>
        </w:tc>
        <w:tc>
          <w:tcPr>
            <w:tcW w:w="7302" w:type="dxa"/>
            <w:tcBorders>
              <w:top w:val="single" w:color="333333" w:sz="6" w:space="0"/>
              <w:left w:val="single" w:color="333333" w:sz="6" w:space="0"/>
              <w:bottom w:val="single" w:color="333333" w:sz="6" w:space="0"/>
              <w:right w:val="single" w:color="333333" w:sz="6" w:space="0"/>
            </w:tcBorders>
            <w:noWrap w:val="0"/>
            <w:vAlign w:val="center"/>
          </w:tcPr>
          <w:p>
            <w:pPr>
              <w:keepNext/>
              <w:keepLines/>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1.同一批号疫苗短期内引起1例患者死亡，疑似与质量相关的事件；</w:t>
            </w:r>
          </w:p>
          <w:p>
            <w:pPr>
              <w:keepNext/>
              <w:keepLines/>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2.在相对集中的时间和区域内，批号相对集中的同一疫苗引起临床表现相似的，且罕见或非预期的不良事件的人数超过5人、不多于10人；或者引起特别严重不良事件（可能对人体造成永久性伤残、对器官功能造成永久性损伤或危及生命）超过2人、疑似与质量相关的事件；</w:t>
            </w:r>
          </w:p>
          <w:p>
            <w:pPr>
              <w:keepNext/>
              <w:keepLines/>
              <w:spacing w:line="340" w:lineRule="exact"/>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3.确认出现质量问题，涉及1个省份的；</w:t>
            </w:r>
          </w:p>
          <w:p>
            <w:pPr>
              <w:keepNext/>
              <w:keepLines/>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4.其他危害较大且引发社会影响局限于某一省份的疫苗质量安全突发事件。</w:t>
            </w:r>
          </w:p>
        </w:tc>
        <w:tc>
          <w:tcPr>
            <w:tcW w:w="707" w:type="dxa"/>
            <w:tcBorders>
              <w:top w:val="single" w:color="333333" w:sz="6" w:space="0"/>
              <w:left w:val="single" w:color="333333" w:sz="6" w:space="0"/>
              <w:bottom w:val="single" w:color="333333" w:sz="6" w:space="0"/>
              <w:right w:val="single" w:color="auto" w:sz="4" w:space="0"/>
            </w:tcBorders>
            <w:noWrap w:val="0"/>
            <w:vAlign w:val="center"/>
          </w:tcPr>
          <w:p>
            <w:pPr>
              <w:keepNext/>
              <w:keepLines/>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bCs/>
                <w:kern w:val="0"/>
                <w:sz w:val="24"/>
                <w:lang w:bidi="ar"/>
              </w:rPr>
              <w:t>Ⅲ</w:t>
            </w:r>
            <w:r>
              <w:rPr>
                <w:rFonts w:hint="eastAsia" w:ascii="仿宋_GB2312" w:hAnsi="仿宋_GB2312" w:eastAsia="仿宋_GB2312" w:cs="仿宋_GB2312"/>
                <w:kern w:val="0"/>
                <w:sz w:val="24"/>
                <w:lang w:bidi="ar"/>
              </w:rPr>
              <w:t>级响应</w:t>
            </w:r>
          </w:p>
        </w:tc>
        <w:tc>
          <w:tcPr>
            <w:tcW w:w="525" w:type="dxa"/>
            <w:tcBorders>
              <w:top w:val="single" w:color="333333" w:sz="6" w:space="0"/>
              <w:left w:val="single" w:color="auto" w:sz="4" w:space="0"/>
              <w:bottom w:val="single" w:color="333333" w:sz="6" w:space="0"/>
              <w:right w:val="single" w:color="333333" w:sz="6" w:space="0"/>
            </w:tcBorders>
            <w:noWrap w:val="0"/>
            <w:vAlign w:val="center"/>
          </w:tcPr>
          <w:p>
            <w:pPr>
              <w:keepNext/>
              <w:keepLines/>
              <w:spacing w:line="280" w:lineRule="exact"/>
              <w:jc w:val="center"/>
              <w:rPr>
                <w:rFonts w:hint="eastAsia" w:ascii="仿宋_GB2312" w:hAnsi="仿宋_GB2312" w:eastAsia="仿宋_GB2312" w:cs="仿宋_GB2312"/>
                <w:bCs/>
                <w:kern w:val="0"/>
                <w:sz w:val="24"/>
                <w:lang w:bidi="ar"/>
              </w:rPr>
            </w:pPr>
            <w:r>
              <w:rPr>
                <w:rFonts w:hint="eastAsia" w:ascii="仿宋_GB2312" w:hAnsi="仿宋_GB2312" w:eastAsia="仿宋_GB2312" w:cs="仿宋_GB2312"/>
                <w:bCs/>
                <w:kern w:val="0"/>
                <w:sz w:val="24"/>
                <w:lang w:bidi="ar"/>
              </w:rPr>
              <w:t>省级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44" w:hRule="atLeast"/>
        </w:trPr>
        <w:tc>
          <w:tcPr>
            <w:tcW w:w="390" w:type="dxa"/>
            <w:vMerge w:val="continue"/>
            <w:tcBorders>
              <w:left w:val="single" w:color="333333" w:sz="6" w:space="0"/>
              <w:bottom w:val="single" w:color="auto" w:sz="4" w:space="0"/>
              <w:right w:val="single" w:color="auto" w:sz="4" w:space="0"/>
            </w:tcBorders>
            <w:noWrap w:val="0"/>
            <w:vAlign w:val="center"/>
          </w:tcPr>
          <w:p>
            <w:pPr>
              <w:keepNext/>
              <w:keepLines/>
              <w:spacing w:line="280" w:lineRule="exact"/>
              <w:jc w:val="center"/>
              <w:rPr>
                <w:rFonts w:hint="eastAsia" w:ascii="仿宋_GB2312" w:hAnsi="仿宋_GB2312" w:eastAsia="仿宋_GB2312" w:cs="仿宋_GB2312"/>
                <w:sz w:val="24"/>
              </w:rPr>
            </w:pPr>
          </w:p>
        </w:tc>
        <w:tc>
          <w:tcPr>
            <w:tcW w:w="405" w:type="dxa"/>
            <w:tcBorders>
              <w:top w:val="single" w:color="333333" w:sz="6" w:space="0"/>
              <w:left w:val="single" w:color="auto" w:sz="4" w:space="0"/>
              <w:bottom w:val="single" w:color="auto" w:sz="4" w:space="0"/>
              <w:right w:val="single" w:color="333333" w:sz="6" w:space="0"/>
            </w:tcBorders>
            <w:noWrap w:val="0"/>
            <w:vAlign w:val="center"/>
          </w:tcPr>
          <w:p>
            <w:pPr>
              <w:keepNext/>
              <w:keepLines/>
              <w:spacing w:line="280" w:lineRule="exact"/>
              <w:jc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一般</w:t>
            </w:r>
          </w:p>
        </w:tc>
        <w:tc>
          <w:tcPr>
            <w:tcW w:w="7302" w:type="dxa"/>
            <w:tcBorders>
              <w:top w:val="single" w:color="333333" w:sz="6" w:space="0"/>
              <w:left w:val="single" w:color="333333" w:sz="6" w:space="0"/>
              <w:bottom w:val="single" w:color="auto" w:sz="4" w:space="0"/>
              <w:right w:val="single" w:color="333333" w:sz="6" w:space="0"/>
            </w:tcBorders>
            <w:noWrap w:val="0"/>
            <w:vAlign w:val="center"/>
          </w:tcPr>
          <w:p>
            <w:pPr>
              <w:keepNext/>
              <w:keepLines/>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1.在相对集中的时间和区域内，批号相对集中的同一疫苗引起临床表现相似的，且罕见或非预期的不良事件的人数超过3人、不多于5人；或者引起特别严重不良事件（可能对人体造成永久性伤残、对器官功能造成永久性损伤或危及生命）超过1人，疑似与质量相关的事件；</w:t>
            </w:r>
          </w:p>
          <w:p>
            <w:pPr>
              <w:keepNext/>
              <w:keepLines/>
              <w:spacing w:line="340" w:lineRule="exact"/>
              <w:rPr>
                <w:rFonts w:hint="eastAsia" w:ascii="仿宋_GB2312" w:hAnsi="仿宋_GB2312" w:eastAsia="仿宋_GB2312" w:cs="仿宋_GB2312"/>
                <w:kern w:val="0"/>
                <w:sz w:val="24"/>
                <w:lang w:bidi="ar"/>
              </w:rPr>
            </w:pPr>
            <w:r>
              <w:rPr>
                <w:rFonts w:hint="eastAsia" w:ascii="仿宋_GB2312" w:hAnsi="仿宋_GB2312" w:eastAsia="仿宋_GB2312" w:cs="仿宋_GB2312"/>
                <w:sz w:val="24"/>
              </w:rPr>
              <w:t>2.其他一般疫苗质量安全突发事件。</w:t>
            </w:r>
          </w:p>
        </w:tc>
        <w:tc>
          <w:tcPr>
            <w:tcW w:w="707" w:type="dxa"/>
            <w:tcBorders>
              <w:top w:val="single" w:color="333333" w:sz="6" w:space="0"/>
              <w:left w:val="single" w:color="333333" w:sz="6" w:space="0"/>
              <w:bottom w:val="single" w:color="auto" w:sz="4" w:space="0"/>
              <w:right w:val="single" w:color="auto" w:sz="4" w:space="0"/>
            </w:tcBorders>
            <w:noWrap w:val="0"/>
            <w:vAlign w:val="center"/>
          </w:tcPr>
          <w:p>
            <w:pPr>
              <w:keepNext/>
              <w:keepLines/>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Ⅳ级响应</w:t>
            </w:r>
          </w:p>
        </w:tc>
        <w:tc>
          <w:tcPr>
            <w:tcW w:w="525" w:type="dxa"/>
            <w:tcBorders>
              <w:top w:val="single" w:color="333333" w:sz="6" w:space="0"/>
              <w:left w:val="single" w:color="auto" w:sz="4" w:space="0"/>
              <w:bottom w:val="single" w:color="auto" w:sz="4" w:space="0"/>
              <w:right w:val="single" w:color="333333" w:sz="6" w:space="0"/>
            </w:tcBorders>
            <w:noWrap w:val="0"/>
            <w:vAlign w:val="center"/>
          </w:tcPr>
          <w:p>
            <w:pPr>
              <w:keepNext/>
              <w:keepLines/>
              <w:spacing w:line="280" w:lineRule="exact"/>
              <w:jc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市级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50" w:hRule="atLeast"/>
        </w:trPr>
        <w:tc>
          <w:tcPr>
            <w:tcW w:w="795" w:type="dxa"/>
            <w:gridSpan w:val="2"/>
            <w:tcBorders>
              <w:top w:val="single" w:color="auto" w:sz="4" w:space="0"/>
              <w:left w:val="single" w:color="333333" w:sz="6" w:space="0"/>
              <w:bottom w:val="single" w:color="auto" w:sz="4" w:space="0"/>
              <w:right w:val="single" w:color="333333" w:sz="6" w:space="0"/>
            </w:tcBorders>
            <w:noWrap w:val="0"/>
            <w:vAlign w:val="center"/>
          </w:tcPr>
          <w:p>
            <w:pPr>
              <w:keepNext/>
              <w:keepLines/>
              <w:spacing w:line="280" w:lineRule="exact"/>
              <w:jc w:val="center"/>
              <w:rPr>
                <w:rFonts w:hint="eastAsia" w:ascii="仿宋_GB2312" w:hAnsi="仿宋_GB2312" w:eastAsia="仿宋_GB2312" w:cs="仿宋_GB2312"/>
                <w:kern w:val="0"/>
                <w:sz w:val="24"/>
                <w:shd w:val="clear" w:color="auto" w:fill="FFFFFF"/>
                <w:lang w:bidi="ar"/>
              </w:rPr>
            </w:pPr>
            <w:r>
              <w:rPr>
                <w:rFonts w:hint="eastAsia" w:ascii="仿宋_GB2312" w:hAnsi="仿宋_GB2312" w:eastAsia="仿宋_GB2312" w:cs="仿宋_GB2312"/>
                <w:kern w:val="0"/>
                <w:sz w:val="24"/>
                <w:shd w:val="clear" w:color="auto" w:fill="FFFFFF"/>
                <w:lang w:bidi="ar"/>
              </w:rPr>
              <w:t>非</w:t>
            </w:r>
          </w:p>
          <w:p>
            <w:pPr>
              <w:keepNext/>
              <w:keepLines/>
              <w:spacing w:line="280" w:lineRule="exact"/>
              <w:jc w:val="center"/>
              <w:rPr>
                <w:rFonts w:hint="eastAsia" w:ascii="仿宋_GB2312" w:hAnsi="仿宋_GB2312" w:eastAsia="仿宋_GB2312" w:cs="仿宋_GB2312"/>
                <w:kern w:val="0"/>
                <w:sz w:val="24"/>
                <w:shd w:val="clear" w:color="auto" w:fill="FFFFFF"/>
                <w:lang w:bidi="ar"/>
              </w:rPr>
            </w:pPr>
            <w:r>
              <w:rPr>
                <w:rFonts w:hint="eastAsia" w:ascii="仿宋_GB2312" w:hAnsi="仿宋_GB2312" w:eastAsia="仿宋_GB2312" w:cs="仿宋_GB2312"/>
                <w:kern w:val="0"/>
                <w:sz w:val="24"/>
                <w:shd w:val="clear" w:color="auto" w:fill="FFFFFF"/>
                <w:lang w:bidi="ar"/>
              </w:rPr>
              <w:t>级</w:t>
            </w:r>
          </w:p>
          <w:p>
            <w:pPr>
              <w:keepNext/>
              <w:keepLines/>
              <w:spacing w:line="280" w:lineRule="exact"/>
              <w:jc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shd w:val="clear" w:color="auto" w:fill="FFFFFF"/>
                <w:lang w:bidi="ar"/>
              </w:rPr>
              <w:t>别</w:t>
            </w:r>
          </w:p>
        </w:tc>
        <w:tc>
          <w:tcPr>
            <w:tcW w:w="7302" w:type="dxa"/>
            <w:tcBorders>
              <w:top w:val="single" w:color="auto" w:sz="4" w:space="0"/>
              <w:left w:val="single" w:color="333333" w:sz="6" w:space="0"/>
              <w:bottom w:val="single" w:color="auto" w:sz="4" w:space="0"/>
              <w:right w:val="single" w:color="333333" w:sz="6" w:space="0"/>
            </w:tcBorders>
            <w:noWrap w:val="0"/>
            <w:vAlign w:val="center"/>
          </w:tcPr>
          <w:p>
            <w:pPr>
              <w:keepNext/>
              <w:keepLines/>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1.在相对集中的时间和区域内，批号相对集中的同一疫苗引起临床表现相似的，且罕见或非预期的不良事件人数不超过2人；</w:t>
            </w:r>
          </w:p>
          <w:p>
            <w:pPr>
              <w:pStyle w:val="3"/>
              <w:spacing w:line="340" w:lineRule="exact"/>
              <w:ind w:firstLine="0" w:firstLineChars="0"/>
              <w:rPr>
                <w:rFonts w:hint="eastAsia" w:ascii="仿宋_GB2312" w:hAnsi="仿宋_GB2312" w:eastAsia="仿宋_GB2312" w:cs="仿宋_GB2312"/>
                <w:kern w:val="0"/>
                <w:sz w:val="24"/>
                <w:lang w:bidi="ar"/>
              </w:rPr>
            </w:pPr>
            <w:r>
              <w:rPr>
                <w:rFonts w:hint="eastAsia" w:ascii="仿宋_GB2312" w:hAnsi="仿宋_GB2312" w:eastAsia="仿宋_GB2312" w:cs="仿宋_GB2312"/>
                <w:sz w:val="24"/>
              </w:rPr>
              <w:t>2.</w:t>
            </w:r>
            <w:r>
              <w:rPr>
                <w:rFonts w:hint="eastAsia" w:ascii="仿宋_GB2312" w:hAnsi="仿宋_GB2312" w:eastAsia="仿宋_GB2312" w:cs="仿宋_GB2312"/>
                <w:kern w:val="0"/>
                <w:sz w:val="24"/>
                <w:shd w:val="clear" w:color="auto" w:fill="FFFFFF"/>
                <w:lang w:bidi="ar"/>
              </w:rPr>
              <w:t>县级以上人民政府认定的非级别</w:t>
            </w:r>
            <w:r>
              <w:rPr>
                <w:rFonts w:hint="eastAsia" w:ascii="仿宋_GB2312" w:hAnsi="仿宋_GB2312" w:eastAsia="仿宋_GB2312" w:cs="仿宋_GB2312"/>
                <w:kern w:val="0"/>
                <w:sz w:val="24"/>
                <w:lang w:bidi="ar"/>
              </w:rPr>
              <w:t>疫苗安全或舆情突发事件。</w:t>
            </w:r>
          </w:p>
        </w:tc>
        <w:tc>
          <w:tcPr>
            <w:tcW w:w="707" w:type="dxa"/>
            <w:tcBorders>
              <w:top w:val="single" w:color="auto" w:sz="4" w:space="0"/>
              <w:left w:val="single" w:color="333333" w:sz="6" w:space="0"/>
              <w:bottom w:val="single" w:color="auto" w:sz="4" w:space="0"/>
              <w:right w:val="single" w:color="auto" w:sz="4" w:space="0"/>
            </w:tcBorders>
            <w:noWrap w:val="0"/>
            <w:vAlign w:val="center"/>
          </w:tcPr>
          <w:p>
            <w:pPr>
              <w:keepNext/>
              <w:keepLines/>
              <w:spacing w:line="280" w:lineRule="exact"/>
              <w:jc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非级别响应</w:t>
            </w:r>
          </w:p>
        </w:tc>
        <w:tc>
          <w:tcPr>
            <w:tcW w:w="525" w:type="dxa"/>
            <w:tcBorders>
              <w:top w:val="single" w:color="auto" w:sz="4" w:space="0"/>
              <w:left w:val="single" w:color="auto" w:sz="4" w:space="0"/>
              <w:bottom w:val="single" w:color="auto" w:sz="4" w:space="0"/>
              <w:right w:val="single" w:color="333333" w:sz="6" w:space="0"/>
            </w:tcBorders>
            <w:noWrap w:val="0"/>
            <w:vAlign w:val="center"/>
          </w:tcPr>
          <w:p>
            <w:pPr>
              <w:keepNext/>
              <w:keepLines/>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县级</w:t>
            </w:r>
          </w:p>
        </w:tc>
      </w:tr>
    </w:tbl>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注：本预案有关数量表述中，“以上”“超过”含本数，“以下”“不超过”不含本数。</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jc w:val="left"/>
      <w:textAlignment w:val="baseline"/>
      <w:rPr>
        <w:rStyle w:val="7"/>
        <w:kern w:val="2"/>
        <w:sz w:val="18"/>
        <w:szCs w:val="24"/>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OJOWjLQBAABSAwAADgAAAAAAAAABACAAAAA0AQAAZHJzL2Uyb0Rv&#10;Yy54bWxQSwUGAAAAAAYABgBZAQAAWg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rStyle w:val="7"/>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widowControl/>
                            <w:snapToGrid w:val="0"/>
                            <w:jc w:val="left"/>
                            <w:textAlignment w:val="baseline"/>
                            <w:rPr>
                              <w:rStyle w:val="7"/>
                              <w:kern w:val="2"/>
                              <w:sz w:val="18"/>
                              <w:szCs w:val="24"/>
                              <w:lang w:val="en-US" w:eastAsia="zh-CN" w:bidi="ar-SA"/>
                            </w:rPr>
                          </w:pPr>
                        </w:p>
                        <w:p>
                          <w:pPr>
                            <w:jc w:val="both"/>
                            <w:textAlignment w:val="baseline"/>
                            <w:rPr>
                              <w:rStyle w:val="7"/>
                              <w:kern w:val="2"/>
                              <w:sz w:val="21"/>
                              <w:szCs w:val="24"/>
                              <w:lang w:val="en-US" w:eastAsia="zh-CN" w:bidi="ar-SA"/>
                            </w:rPr>
                          </w:pPr>
                        </w:p>
                      </w:txbxContent>
                    </wps:txbx>
                    <wps:bodyPr lIns="0" tIns="0" rIns="0" bIns="0" upright="true"/>
                  </wps:wsp>
                </a:graphicData>
              </a:graphic>
            </wp:anchor>
          </w:drawing>
        </mc:Choice>
        <mc:Fallback>
          <w:pict>
            <v:shape id="_x0000_s1026" o:spid="_x0000_s1026" o:spt="202" type="#_x0000_t202" style="position:absolute;left:0pt;margin-top:0pt;height:144pt;width:144pt;mso-position-horizontal:right;mso-position-horizontal-relative:margin;z-index:251660288;mso-width-relative:page;mso-height-relative:page;" filled="f" stroked="f" coordsize="21600,21600" o:gfxdata="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BZpPZA0gAA&#10;AAUBAAAPAAAAAAAAAAEAIAAAADgAAABkcnMvZG93bnJldi54bWxQSwECFAAUAAAACACHTuJAR0yV&#10;l5wBAAArAwAADgAAAAAAAAABACAAAAA3AQAAZHJzL2Uyb0RvYy54bWxQSwUGAAAAAAYABgBZAQAA&#10;RQUAAAAA&#10;">
              <v:fill on="f" focussize="0,0"/>
              <v:stroke on="f"/>
              <v:imagedata o:title=""/>
              <o:lock v:ext="edit" aspectratio="f"/>
              <v:textbox inset="0mm,0mm,0mm,0mm">
                <w:txbxContent>
                  <w:p>
                    <w:pPr>
                      <w:pStyle w:val="4"/>
                      <w:widowControl/>
                      <w:snapToGrid w:val="0"/>
                      <w:jc w:val="left"/>
                      <w:textAlignment w:val="baseline"/>
                      <w:rPr>
                        <w:rStyle w:val="7"/>
                        <w:kern w:val="2"/>
                        <w:sz w:val="18"/>
                        <w:szCs w:val="24"/>
                        <w:lang w:val="en-US" w:eastAsia="zh-CN" w:bidi="ar-SA"/>
                      </w:rPr>
                    </w:pPr>
                  </w:p>
                  <w:p>
                    <w:pPr>
                      <w:jc w:val="both"/>
                      <w:textAlignment w:val="baseline"/>
                      <w:rPr>
                        <w:rStyle w:val="7"/>
                        <w:kern w:val="2"/>
                        <w:sz w:val="21"/>
                        <w:szCs w:val="24"/>
                        <w:lang w:val="en-US" w:eastAsia="zh-CN" w:bidi="ar-S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8"/>
      <w:suff w:val="nothing"/>
      <w:lvlText w:val="%1."/>
      <w:lvlJc w:val="left"/>
      <w:pPr>
        <w:widowControl/>
        <w:tabs>
          <w:tab w:val="left" w:pos="420"/>
        </w:tabs>
        <w:ind w:left="425" w:hanging="425"/>
        <w:textAlignment w:val="baseline"/>
      </w:pPr>
    </w:lvl>
    <w:lvl w:ilvl="1" w:tentative="0">
      <w:start w:val="1"/>
      <w:numFmt w:val="decimal"/>
      <w:suff w:val="nothing"/>
      <w:lvlText w:val="%1.%2."/>
      <w:lvlJc w:val="left"/>
      <w:pPr>
        <w:widowControl/>
        <w:tabs>
          <w:tab w:val="left" w:pos="420"/>
        </w:tabs>
        <w:ind w:left="567" w:hanging="567"/>
        <w:textAlignment w:val="baseline"/>
      </w:pPr>
    </w:lvl>
    <w:lvl w:ilvl="2" w:tentative="0">
      <w:start w:val="1"/>
      <w:numFmt w:val="decimal"/>
      <w:lvlText w:val="%1.%2.%3."/>
      <w:lvlJc w:val="left"/>
      <w:pPr>
        <w:widowControl/>
        <w:ind w:left="709" w:hanging="709"/>
        <w:textAlignment w:val="baseline"/>
      </w:pPr>
    </w:lvl>
    <w:lvl w:ilvl="3" w:tentative="0">
      <w:start w:val="1"/>
      <w:numFmt w:val="decimal"/>
      <w:lvlText w:val="%1.%2.%3.%4."/>
      <w:lvlJc w:val="left"/>
      <w:pPr>
        <w:widowControl/>
        <w:ind w:left="850" w:hanging="850"/>
        <w:textAlignment w:val="baseline"/>
      </w:pPr>
    </w:lvl>
    <w:lvl w:ilvl="4" w:tentative="0">
      <w:start w:val="1"/>
      <w:numFmt w:val="decimal"/>
      <w:lvlText w:val="%1.%2.%3.%4.%5."/>
      <w:lvlJc w:val="left"/>
      <w:pPr>
        <w:widowControl/>
        <w:ind w:left="991" w:hanging="991"/>
        <w:textAlignment w:val="baseline"/>
      </w:pPr>
    </w:lvl>
    <w:lvl w:ilvl="5" w:tentative="0">
      <w:start w:val="1"/>
      <w:numFmt w:val="decimal"/>
      <w:lvlText w:val="%1.%2.%3.%4.%5.%6."/>
      <w:lvlJc w:val="left"/>
      <w:pPr>
        <w:widowControl/>
        <w:ind w:left="1134" w:hanging="1134"/>
        <w:textAlignment w:val="baseline"/>
      </w:pPr>
    </w:lvl>
    <w:lvl w:ilvl="6" w:tentative="0">
      <w:start w:val="1"/>
      <w:numFmt w:val="decimal"/>
      <w:lvlText w:val="%1.%2.%3.%4.%5.%6.%7."/>
      <w:lvlJc w:val="left"/>
      <w:pPr>
        <w:widowControl/>
        <w:ind w:left="1275" w:hanging="1275"/>
        <w:textAlignment w:val="baseline"/>
      </w:pPr>
    </w:lvl>
    <w:lvl w:ilvl="7" w:tentative="0">
      <w:start w:val="1"/>
      <w:numFmt w:val="decimal"/>
      <w:lvlText w:val="%1.%2.%3.%4.%5.%6.%7.%8."/>
      <w:lvlJc w:val="left"/>
      <w:pPr>
        <w:widowControl/>
        <w:ind w:left="1418" w:hanging="1418"/>
        <w:textAlignment w:val="baseline"/>
      </w:pPr>
    </w:lvl>
    <w:lvl w:ilvl="8" w:tentative="0">
      <w:start w:val="1"/>
      <w:numFmt w:val="decimal"/>
      <w:lvlText w:val="%1.%2.%3.%4.%5.%6.%7.%8.%9."/>
      <w:lvlJc w:val="left"/>
      <w:pPr>
        <w:widowControl/>
        <w:ind w:left="1558" w:hanging="1558"/>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BBE4C"/>
    <w:rsid w:val="5FF2E6E9"/>
    <w:rsid w:val="7BFBBE4C"/>
    <w:rsid w:val="9BFB4808"/>
    <w:rsid w:val="B3DF870E"/>
    <w:rsid w:val="B7FEDE83"/>
    <w:rsid w:val="D3BFE6EB"/>
    <w:rsid w:val="DFBF4E20"/>
    <w:rsid w:val="E12F912D"/>
    <w:rsid w:val="FFEBA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仿宋" w:hAnsi="仿宋" w:eastAsia="宋体" w:cs="Times New Roman"/>
      <w:kern w:val="2"/>
      <w:sz w:val="32"/>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character" w:customStyle="1" w:styleId="7">
    <w:name w:val="NormalCharacter"/>
    <w:link w:val="1"/>
    <w:qFormat/>
    <w:uiPriority w:val="0"/>
    <w:rPr>
      <w:rFonts w:ascii="仿宋" w:hAnsi="仿宋" w:eastAsia="宋体" w:cs="Times New Roman"/>
      <w:kern w:val="2"/>
      <w:sz w:val="32"/>
      <w:lang w:val="en-US" w:eastAsia="zh-CN"/>
    </w:rPr>
  </w:style>
  <w:style w:type="paragraph" w:customStyle="1" w:styleId="8">
    <w:name w:val="Heading1"/>
    <w:basedOn w:val="1"/>
    <w:next w:val="1"/>
    <w:qFormat/>
    <w:uiPriority w:val="0"/>
    <w:pPr>
      <w:keepNext/>
      <w:keepLines/>
      <w:numPr>
        <w:ilvl w:val="0"/>
        <w:numId w:val="1"/>
      </w:numPr>
      <w:spacing w:line="360" w:lineRule="auto"/>
      <w:jc w:val="both"/>
      <w:textAlignment w:val="baseline"/>
    </w:pPr>
    <w:rPr>
      <w:rFonts w:eastAsia="黑体"/>
      <w:b/>
      <w:kern w:val="44"/>
      <w:sz w:val="21"/>
      <w:szCs w:val="24"/>
      <w:lang w:val="en-US" w:eastAsia="zh-CN" w:bidi="ar-SA"/>
    </w:rPr>
  </w:style>
  <w:style w:type="paragraph" w:customStyle="1" w:styleId="9">
    <w:name w:val="NormalIndent"/>
    <w:basedOn w:val="1"/>
    <w:qFormat/>
    <w:uiPriority w:val="0"/>
    <w:pPr>
      <w:ind w:firstLine="420" w:firstLineChars="200"/>
      <w:jc w:val="both"/>
      <w:textAlignment w:val="baseline"/>
    </w:pPr>
  </w:style>
  <w:style w:type="paragraph" w:customStyle="1" w:styleId="10">
    <w:name w:val="BodyTextIndent2"/>
    <w:basedOn w:val="1"/>
    <w:qFormat/>
    <w:uiPriority w:val="0"/>
    <w:pPr>
      <w:spacing w:after="120" w:line="480" w:lineRule="auto"/>
      <w:ind w:left="420" w:leftChars="200"/>
      <w:jc w:val="both"/>
      <w:textAlignment w:val="baseline"/>
    </w:pPr>
    <w:rPr>
      <w:rFonts w:ascii="Times New Roman" w:hAnsi="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2022-01-07T14:43:00Z</dcterms:created>
  <dc:creator>xc-201009285</dc:creator>
  <cp:lastModifiedBy>xc-201009285</cp:lastModifiedBy>
  <dcterms:modified xsi:type="dcterms:W3CDTF">2022-01-07T14:54:16Z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