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60" w:lineRule="exact"/>
        <w:jc w:val="left"/>
        <w:textAlignment w:val="baseline"/>
        <w:rPr>
          <w:rStyle w:val="6"/>
          <w:rFonts w:hint="eastAsia" w:ascii="黑体" w:hAnsi="黑体" w:eastAsia="黑体" w:cs="黑体"/>
          <w:b w:val="0"/>
          <w:i w:val="0"/>
          <w:caps w:val="0"/>
          <w:color w:val="000000" w:themeColor="text1"/>
          <w:spacing w:val="0"/>
          <w:w w:val="100"/>
          <w:kern w:val="0"/>
          <w:sz w:val="28"/>
          <w:szCs w:val="28"/>
          <w:lang w:val="en-US" w:eastAsia="zh-CN"/>
          <w14:textFill>
            <w14:solidFill>
              <w14:schemeClr w14:val="tx1"/>
            </w14:solidFill>
          </w14:textFill>
        </w:rPr>
      </w:pPr>
      <w:r>
        <w:rPr>
          <w:rStyle w:val="6"/>
          <w:rFonts w:hint="eastAsia" w:ascii="黑体" w:hAnsi="黑体" w:eastAsia="黑体" w:cs="黑体"/>
          <w:b w:val="0"/>
          <w:i w:val="0"/>
          <w:caps w:val="0"/>
          <w:color w:val="000000" w:themeColor="text1"/>
          <w:spacing w:val="0"/>
          <w:w w:val="100"/>
          <w:kern w:val="0"/>
          <w:sz w:val="28"/>
          <w:szCs w:val="28"/>
          <w:lang w:val="en-US" w:eastAsia="zh-CN"/>
          <w14:textFill>
            <w14:solidFill>
              <w14:schemeClr w14:val="tx1"/>
            </w14:solidFill>
          </w14:textFill>
        </w:rPr>
        <w:t>附件2</w:t>
      </w:r>
    </w:p>
    <w:p>
      <w:pPr>
        <w:pStyle w:val="7"/>
        <w:widowControl/>
        <w:numPr>
          <w:ilvl w:val="0"/>
          <w:numId w:val="0"/>
        </w:numPr>
        <w:snapToGrid/>
        <w:spacing w:before="0" w:beforeAutospacing="0" w:after="0" w:afterAutospacing="0" w:line="660" w:lineRule="exact"/>
        <w:jc w:val="center"/>
        <w:textAlignment w:val="baseline"/>
        <w:rPr>
          <w:rStyle w:val="6"/>
          <w:rFonts w:ascii="方正小标宋简体" w:hAnsi="方正小标宋简体" w:eastAsia="方正小标宋简体"/>
          <w:b w:val="0"/>
          <w:i w:val="0"/>
          <w:caps w:val="0"/>
          <w:color w:val="000000" w:themeColor="text1"/>
          <w:spacing w:val="0"/>
          <w:w w:val="100"/>
          <w:kern w:val="2"/>
          <w:sz w:val="44"/>
          <w:szCs w:val="44"/>
          <w:lang w:val="en-US" w:eastAsia="zh-CN" w:bidi="ar-SA"/>
          <w14:textFill>
            <w14:solidFill>
              <w14:schemeClr w14:val="tx1"/>
            </w14:solidFill>
          </w14:textFill>
        </w:rPr>
      </w:pPr>
      <w:r>
        <w:rPr>
          <w:rStyle w:val="6"/>
          <w:rFonts w:ascii="方正小标宋简体" w:hAnsi="方正小标宋简体" w:eastAsia="方正小标宋简体"/>
          <w:b w:val="0"/>
          <w:i w:val="0"/>
          <w:caps w:val="0"/>
          <w:color w:val="000000" w:themeColor="text1"/>
          <w:spacing w:val="0"/>
          <w:w w:val="100"/>
          <w:kern w:val="2"/>
          <w:sz w:val="44"/>
          <w:szCs w:val="44"/>
          <w:lang w:val="en-US" w:eastAsia="zh-CN" w:bidi="ar-SA"/>
          <w14:textFill>
            <w14:solidFill>
              <w14:schemeClr w14:val="tx1"/>
            </w14:solidFill>
          </w14:textFill>
        </w:rPr>
        <w:t>清涧县药品和医疗器械安全应急指挥部</w:t>
      </w:r>
    </w:p>
    <w:p>
      <w:pPr>
        <w:pStyle w:val="7"/>
        <w:widowControl/>
        <w:numPr>
          <w:ilvl w:val="0"/>
          <w:numId w:val="0"/>
        </w:numPr>
        <w:snapToGrid/>
        <w:spacing w:before="0" w:beforeAutospacing="0" w:after="0" w:afterAutospacing="0" w:line="660" w:lineRule="exact"/>
        <w:jc w:val="center"/>
        <w:textAlignment w:val="baseline"/>
        <w:rPr>
          <w:rStyle w:val="6"/>
          <w:rFonts w:ascii="方正小标宋简体" w:hAnsi="方正小标宋简体" w:eastAsia="方正小标宋简体"/>
          <w:b w:val="0"/>
          <w:i w:val="0"/>
          <w:caps w:val="0"/>
          <w:color w:val="000000" w:themeColor="text1"/>
          <w:spacing w:val="0"/>
          <w:w w:val="100"/>
          <w:kern w:val="2"/>
          <w:sz w:val="44"/>
          <w:szCs w:val="44"/>
          <w:lang w:val="en-US" w:eastAsia="zh-CN" w:bidi="ar-SA"/>
          <w14:textFill>
            <w14:solidFill>
              <w14:schemeClr w14:val="tx1"/>
            </w14:solidFill>
          </w14:textFill>
        </w:rPr>
      </w:pPr>
      <w:r>
        <w:rPr>
          <w:rStyle w:val="6"/>
          <w:rFonts w:ascii="方正小标宋简体" w:hAnsi="方正小标宋简体" w:eastAsia="方正小标宋简体"/>
          <w:b w:val="0"/>
          <w:i w:val="0"/>
          <w:caps w:val="0"/>
          <w:color w:val="000000" w:themeColor="text1"/>
          <w:spacing w:val="0"/>
          <w:w w:val="100"/>
          <w:kern w:val="2"/>
          <w:sz w:val="44"/>
          <w:szCs w:val="44"/>
          <w:lang w:val="en-US" w:eastAsia="zh-CN" w:bidi="ar-SA"/>
          <w14:textFill>
            <w14:solidFill>
              <w14:schemeClr w14:val="tx1"/>
            </w14:solidFill>
          </w14:textFill>
        </w:rPr>
        <w:t>成员单位职责</w:t>
      </w:r>
    </w:p>
    <w:p>
      <w:pPr>
        <w:pStyle w:val="8"/>
        <w:widowControl/>
        <w:snapToGrid/>
        <w:spacing w:before="0" w:beforeAutospacing="0" w:after="0" w:afterAutospacing="0" w:line="640" w:lineRule="exact"/>
        <w:ind w:firstLine="420" w:firstLineChars="0"/>
        <w:jc w:val="both"/>
        <w:textAlignment w:val="baseline"/>
        <w:rPr>
          <w:rStyle w:val="6"/>
          <w:rFonts w:ascii="黑体" w:hAnsi="黑体" w:eastAsia="黑体"/>
          <w:b w:val="0"/>
          <w:i w:val="0"/>
          <w:caps w:val="0"/>
          <w:color w:val="000000" w:themeColor="text1"/>
          <w:spacing w:val="0"/>
          <w:w w:val="100"/>
          <w:sz w:val="32"/>
          <w:szCs w:val="32"/>
          <w14:textFill>
            <w14:solidFill>
              <w14:schemeClr w14:val="tx1"/>
            </w14:solidFill>
          </w14:textFill>
        </w:rPr>
      </w:pPr>
    </w:p>
    <w:p>
      <w:pPr>
        <w:numPr>
          <w:ilvl w:val="0"/>
          <w:numId w:val="0"/>
        </w:numPr>
        <w:snapToGrid/>
        <w:spacing w:before="0" w:beforeAutospacing="0" w:after="0" w:afterAutospacing="0" w:line="588" w:lineRule="exact"/>
        <w:ind w:firstLine="658" w:firstLineChars="200"/>
        <w:jc w:val="both"/>
        <w:textAlignment w:val="baseline"/>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pPr>
      <w:r>
        <w:rPr>
          <w:rStyle w:val="6"/>
          <w:rFonts w:hint="eastAsia"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1.</w:t>
      </w:r>
      <w:r>
        <w:rPr>
          <w:rStyle w:val="6"/>
          <w:rFonts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县委宣传部：</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负责把握药品安全突发事件新闻报道的正确导向，指导事件调查处置部门及时发布权威信息；指导协调新闻单位做好药品安全突发事件的新闻报道。</w:t>
      </w:r>
      <w:r>
        <w:rPr>
          <w:rStyle w:val="6"/>
          <w:rFonts w:ascii="仿宋_GB2312" w:eastAsia="仿宋_GB2312"/>
          <w:b w:val="0"/>
          <w:i w:val="0"/>
          <w:caps w:val="0"/>
          <w:color w:val="000000" w:themeColor="text1"/>
          <w:spacing w:val="0"/>
          <w:w w:val="100"/>
          <w:kern w:val="2"/>
          <w:sz w:val="32"/>
          <w:szCs w:val="32"/>
          <w:lang w:val="en-US" w:eastAsia="zh-CN"/>
          <w14:textFill>
            <w14:solidFill>
              <w14:schemeClr w14:val="tx1"/>
            </w14:solidFill>
          </w14:textFill>
        </w:rPr>
        <w:t>指导协助突发事件处置的地方和部门召开新闻发布会。</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 xml:space="preserve">负责做好全县网上涉药品安全突发事件的舆情监测；指导协调域内网站做好药品安全突发事件的网络新闻报道；配合事件处置部门做好网上舆论引导工作。  </w:t>
      </w:r>
    </w:p>
    <w:p>
      <w:pPr>
        <w:numPr>
          <w:ilvl w:val="0"/>
          <w:numId w:val="0"/>
        </w:numPr>
        <w:snapToGrid/>
        <w:spacing w:before="0" w:beforeAutospacing="0" w:after="0" w:afterAutospacing="0" w:line="588" w:lineRule="exact"/>
        <w:ind w:firstLine="658" w:firstLineChars="200"/>
        <w:jc w:val="both"/>
        <w:textAlignment w:val="baseline"/>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pPr>
      <w:r>
        <w:rPr>
          <w:rStyle w:val="6"/>
          <w:rFonts w:hint="eastAsia"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2.</w:t>
      </w:r>
      <w:r>
        <w:rPr>
          <w:rStyle w:val="6"/>
          <w:rFonts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县委政法委：</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 xml:space="preserve">负责指导药品安全突发事件应急处置中可能引发的影响社会稳定问题的协调处置；督促协调涉及重大危害药品和医疗器械安全类刑事案件依法处置工作。  </w:t>
      </w:r>
    </w:p>
    <w:p>
      <w:pPr>
        <w:numPr>
          <w:ilvl w:val="0"/>
          <w:numId w:val="0"/>
        </w:numPr>
        <w:snapToGrid/>
        <w:spacing w:before="0" w:beforeAutospacing="0" w:after="0" w:afterAutospacing="0" w:line="588" w:lineRule="exact"/>
        <w:ind w:firstLine="658" w:firstLineChars="200"/>
        <w:jc w:val="both"/>
        <w:textAlignment w:val="baseline"/>
        <w:rPr>
          <w:rStyle w:val="6"/>
          <w:rFonts w:ascii="Times New Roman" w:hAnsi="Times New Roman"/>
          <w:b/>
          <w:i w:val="0"/>
          <w:caps w:val="0"/>
          <w:color w:val="000000" w:themeColor="text1"/>
          <w:spacing w:val="0"/>
          <w:w w:val="100"/>
          <w:kern w:val="2"/>
          <w:sz w:val="32"/>
          <w:szCs w:val="32"/>
          <w:lang w:val="en-US" w:eastAsia="zh-CN" w:bidi="ar-SA"/>
          <w14:textFill>
            <w14:solidFill>
              <w14:schemeClr w14:val="tx1"/>
            </w14:solidFill>
          </w14:textFill>
        </w:rPr>
      </w:pPr>
      <w:r>
        <w:rPr>
          <w:rStyle w:val="6"/>
          <w:rFonts w:hint="eastAsia" w:ascii="仿宋_GB2312" w:eastAsia="仿宋_GB2312"/>
          <w:b/>
          <w:bCs/>
          <w:i w:val="0"/>
          <w:caps w:val="0"/>
          <w:color w:val="000000" w:themeColor="text1"/>
          <w:spacing w:val="0"/>
          <w:w w:val="100"/>
          <w:kern w:val="2"/>
          <w:sz w:val="32"/>
          <w:szCs w:val="32"/>
          <w:lang w:val="en-US" w:eastAsia="zh-CN" w:bidi="ar-SA"/>
          <w14:textFill>
            <w14:solidFill>
              <w14:schemeClr w14:val="tx1"/>
            </w14:solidFill>
          </w14:textFill>
        </w:rPr>
        <w:t>3.</w:t>
      </w:r>
      <w:r>
        <w:rPr>
          <w:rStyle w:val="6"/>
          <w:rFonts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县委编办：</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 xml:space="preserve">按照机构编制规则程序，调整药品和医疗器械安全监管部门、专业技术机构的职责。 </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br w:type="textWrapping"/>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　　</w:t>
      </w:r>
      <w:r>
        <w:rPr>
          <w:rStyle w:val="6"/>
          <w:rFonts w:hint="eastAsia"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4.</w:t>
      </w:r>
      <w:r>
        <w:rPr>
          <w:rStyle w:val="6"/>
          <w:rFonts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县发改和科技局：</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 xml:space="preserve">负责做好药品和医疗器械相关项目备案工作，并配合相关部门加强药品和医疗器械安全检验检测专业技术机构基础设施建设。负责药品安全突发事件处置的科技攻关，为事件处置提供技术支持。 </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br w:type="textWrapping"/>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　　</w:t>
      </w:r>
      <w:r>
        <w:rPr>
          <w:rStyle w:val="6"/>
          <w:rFonts w:hint="eastAsia"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5.</w:t>
      </w:r>
      <w:r>
        <w:rPr>
          <w:rStyle w:val="6"/>
          <w:rFonts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县教体局：</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 xml:space="preserve">负责协助处置发生在学校或托幼机构的药品安全突发事件，做好在校学生、教职工的宣传教育和自我防护工作。负责药品安全突发事件处置的科技攻关，为事件处置提供技术支持。 </w:t>
      </w:r>
    </w:p>
    <w:p>
      <w:pPr>
        <w:snapToGrid/>
        <w:spacing w:before="0" w:beforeAutospacing="0" w:after="0" w:afterAutospacing="0" w:line="588" w:lineRule="exact"/>
        <w:ind w:firstLine="658" w:firstLineChars="200"/>
        <w:jc w:val="both"/>
        <w:textAlignment w:val="baseline"/>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pPr>
      <w:r>
        <w:rPr>
          <w:rStyle w:val="6"/>
          <w:rFonts w:hint="eastAsia"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6.</w:t>
      </w:r>
      <w:r>
        <w:rPr>
          <w:rStyle w:val="6"/>
          <w:rFonts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县工贸局：</w:t>
      </w:r>
      <w:r>
        <w:rPr>
          <w:rStyle w:val="6"/>
          <w:rFonts w:ascii="仿宋_GB2312" w:eastAsia="仿宋_GB2312"/>
          <w:b w:val="0"/>
          <w:i w:val="0"/>
          <w:caps w:val="0"/>
          <w:color w:val="000000" w:themeColor="text1"/>
          <w:spacing w:val="0"/>
          <w:w w:val="100"/>
          <w:kern w:val="2"/>
          <w:sz w:val="32"/>
          <w:szCs w:val="32"/>
          <w:lang w:val="en-US" w:eastAsia="zh-CN"/>
          <w14:textFill>
            <w14:solidFill>
              <w14:schemeClr w14:val="tx1"/>
            </w14:solidFill>
          </w14:textFill>
        </w:rPr>
        <w:t>承担药品安全突发事件应急处置中所需药品和医疗器械的保障供应工作。</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br w:type="textWrapping"/>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　　</w:t>
      </w:r>
      <w:r>
        <w:rPr>
          <w:rStyle w:val="6"/>
          <w:rFonts w:hint="eastAsia"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7.县</w:t>
      </w:r>
      <w:r>
        <w:rPr>
          <w:rStyle w:val="6"/>
          <w:rFonts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公安局：</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 xml:space="preserve">负责维护药品安全突发事件处置中的治安秩序；负责对涉嫌刑事犯罪案件进行侦办；协助对麻醉、精神药品群体性滥用事件进行调查、核实、处理；对发布事件虚假信息、造谣滋事等违法行为依法予以调查处理。 </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br w:type="textWrapping"/>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　　</w:t>
      </w:r>
      <w:r>
        <w:rPr>
          <w:rStyle w:val="6"/>
          <w:rFonts w:hint="eastAsia"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8.</w:t>
      </w:r>
      <w:r>
        <w:rPr>
          <w:rStyle w:val="6"/>
          <w:rFonts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县民政局：</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 xml:space="preserve">负责协助做好受药品安全突发事件影响造成生活困难人群的基本生活救助工作。 </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br w:type="textWrapping"/>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　　</w:t>
      </w:r>
      <w:r>
        <w:rPr>
          <w:rStyle w:val="6"/>
          <w:rFonts w:hint="eastAsia"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9.</w:t>
      </w:r>
      <w:r>
        <w:rPr>
          <w:rStyle w:val="6"/>
          <w:rFonts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县司法局：</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 xml:space="preserve">负责协助有关监督管理部门对监狱、司法行政戒毒场所等司法行政机关药品安全突发事件进行调查并开展应急处置工作。 </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br w:type="textWrapping"/>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　　</w:t>
      </w:r>
      <w:r>
        <w:rPr>
          <w:rStyle w:val="6"/>
          <w:rFonts w:hint="eastAsia"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10.</w:t>
      </w:r>
      <w:r>
        <w:rPr>
          <w:rStyle w:val="6"/>
          <w:rFonts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县财政局：</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负责</w:t>
      </w:r>
      <w:r>
        <w:rPr>
          <w:rStyle w:val="6"/>
          <w:rFonts w:hint="eastAsia"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县</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 xml:space="preserve">级药品安全突发事件应急处置资金保障及资金使用监督管理。 </w:t>
      </w:r>
    </w:p>
    <w:p>
      <w:pPr>
        <w:snapToGrid/>
        <w:spacing w:before="0" w:beforeAutospacing="0" w:after="0" w:afterAutospacing="0" w:line="588" w:lineRule="exact"/>
        <w:ind w:firstLine="658" w:firstLineChars="200"/>
        <w:jc w:val="both"/>
        <w:textAlignment w:val="baseline"/>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pPr>
      <w:r>
        <w:rPr>
          <w:rStyle w:val="6"/>
          <w:rFonts w:hint="eastAsia" w:ascii="仿宋_GB2312" w:eastAsia="仿宋_GB2312"/>
          <w:b/>
          <w:bCs/>
          <w:i w:val="0"/>
          <w:caps w:val="0"/>
          <w:color w:val="000000" w:themeColor="text1"/>
          <w:spacing w:val="0"/>
          <w:w w:val="100"/>
          <w:kern w:val="2"/>
          <w:sz w:val="32"/>
          <w:szCs w:val="32"/>
          <w:lang w:val="en-US" w:eastAsia="zh-CN" w:bidi="ar-SA"/>
          <w14:textFill>
            <w14:solidFill>
              <w14:schemeClr w14:val="tx1"/>
            </w14:solidFill>
          </w14:textFill>
        </w:rPr>
        <w:t>11.</w:t>
      </w:r>
      <w:r>
        <w:rPr>
          <w:rStyle w:val="6"/>
          <w:rFonts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县人社局：</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 xml:space="preserve">负责对在药品安全突发事件应急处置中做出突出贡献的集体和个人的表彰奖励工作。 </w:t>
      </w:r>
    </w:p>
    <w:p>
      <w:pPr>
        <w:snapToGrid/>
        <w:spacing w:before="0" w:beforeAutospacing="0" w:after="0" w:afterAutospacing="0" w:line="588" w:lineRule="exact"/>
        <w:ind w:firstLine="658" w:firstLineChars="200"/>
        <w:jc w:val="both"/>
        <w:textAlignment w:val="baseline"/>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pPr>
      <w:r>
        <w:rPr>
          <w:rStyle w:val="6"/>
          <w:rFonts w:hint="eastAsia" w:ascii="仿宋_GB2312" w:eastAsia="仿宋_GB2312"/>
          <w:b/>
          <w:bCs/>
          <w:i w:val="0"/>
          <w:caps w:val="0"/>
          <w:color w:val="000000" w:themeColor="text1"/>
          <w:spacing w:val="0"/>
          <w:w w:val="100"/>
          <w:kern w:val="2"/>
          <w:sz w:val="32"/>
          <w:szCs w:val="32"/>
          <w:lang w:val="en-US" w:eastAsia="zh-CN" w:bidi="ar-SA"/>
          <w14:textFill>
            <w14:solidFill>
              <w14:schemeClr w14:val="tx1"/>
            </w14:solidFill>
          </w14:textFill>
        </w:rPr>
        <w:t>12.</w:t>
      </w:r>
      <w:r>
        <w:rPr>
          <w:rStyle w:val="6"/>
          <w:rFonts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县</w:t>
      </w:r>
      <w:r>
        <w:rPr>
          <w:rStyle w:val="6"/>
          <w:rFonts w:hint="eastAsia"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交通</w:t>
      </w:r>
      <w:r>
        <w:rPr>
          <w:rStyle w:val="6"/>
          <w:rFonts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局：</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 xml:space="preserve">负责协助提供事件应急处置过程中的公路交通运力保障；协助有关监督管理部门对交通运输过程中发生的重大药品安全突发事件进行调查及处置。  </w:t>
      </w:r>
    </w:p>
    <w:p>
      <w:pPr>
        <w:snapToGrid/>
        <w:spacing w:before="0" w:beforeAutospacing="0" w:after="0" w:afterAutospacing="0" w:line="588" w:lineRule="exact"/>
        <w:ind w:firstLine="658" w:firstLineChars="200"/>
        <w:jc w:val="both"/>
        <w:textAlignment w:val="baseline"/>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pPr>
      <w:r>
        <w:rPr>
          <w:rStyle w:val="6"/>
          <w:rFonts w:hint="eastAsia" w:ascii="仿宋_GB2312" w:eastAsia="仿宋_GB2312"/>
          <w:b/>
          <w:bCs/>
          <w:i w:val="0"/>
          <w:caps w:val="0"/>
          <w:color w:val="000000" w:themeColor="text1"/>
          <w:spacing w:val="0"/>
          <w:w w:val="100"/>
          <w:kern w:val="2"/>
          <w:sz w:val="32"/>
          <w:szCs w:val="32"/>
          <w:lang w:val="en-US" w:eastAsia="zh-CN" w:bidi="ar-SA"/>
          <w14:textFill>
            <w14:solidFill>
              <w14:schemeClr w14:val="tx1"/>
            </w14:solidFill>
          </w14:textFill>
        </w:rPr>
        <w:t>13.</w:t>
      </w:r>
      <w:r>
        <w:rPr>
          <w:rStyle w:val="6"/>
          <w:rFonts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县卫健局：</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 xml:space="preserve">负责组织实施事件患者的医疗救治及心理康复；配合完成医疗机构药品和医疗器械不良反应（事件）报告分析、评价和管理工作。紧急情况下，对医疗机构使用的涉事药品和医疗器械采取暂停使用等措施，配合事件的调查、确认等工作。 </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br w:type="textWrapping"/>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　　</w:t>
      </w:r>
      <w:r>
        <w:rPr>
          <w:rStyle w:val="6"/>
          <w:rFonts w:hint="eastAsia"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14.</w:t>
      </w:r>
      <w:r>
        <w:rPr>
          <w:rStyle w:val="6"/>
          <w:rFonts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县应急管理局：</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负责指导全</w:t>
      </w:r>
      <w:r>
        <w:rPr>
          <w:rStyle w:val="6"/>
          <w:rFonts w:hint="eastAsia"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县</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 xml:space="preserve">药品安全突发事件应急预案体系建设；协助有关监督管理部门组织处置事件引发的次生药品安全突发事件。 </w:t>
      </w:r>
    </w:p>
    <w:p>
      <w:pPr>
        <w:snapToGrid/>
        <w:spacing w:before="0" w:beforeAutospacing="0" w:after="0" w:afterAutospacing="0" w:line="588" w:lineRule="exact"/>
        <w:ind w:firstLine="658" w:firstLineChars="200"/>
        <w:jc w:val="both"/>
        <w:textAlignment w:val="baseline"/>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pPr>
      <w:r>
        <w:rPr>
          <w:rStyle w:val="6"/>
          <w:rFonts w:hint="eastAsia" w:ascii="仿宋_GB2312" w:eastAsia="仿宋_GB2312"/>
          <w:b/>
          <w:bCs/>
          <w:i w:val="0"/>
          <w:caps w:val="0"/>
          <w:color w:val="000000" w:themeColor="text1"/>
          <w:spacing w:val="0"/>
          <w:w w:val="100"/>
          <w:kern w:val="2"/>
          <w:sz w:val="32"/>
          <w:szCs w:val="32"/>
          <w:lang w:val="en-US" w:eastAsia="zh-CN" w:bidi="ar-SA"/>
          <w14:textFill>
            <w14:solidFill>
              <w14:schemeClr w14:val="tx1"/>
            </w14:solidFill>
          </w14:textFill>
        </w:rPr>
        <w:t>15.</w:t>
      </w:r>
      <w:r>
        <w:rPr>
          <w:rStyle w:val="6"/>
          <w:rFonts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县市场监管局：</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负责县指挥部办公室日常工作。负责事件信息的收集、分析、预警、报告等；组织开展药品生产、经营、使用环节安全突发事件的应急处置，依法采取应急处置措施；组织开展相关检验及技术鉴定；对事件中涉及违法违规行为的查处</w:t>
      </w:r>
      <w:r>
        <w:rPr>
          <w:rStyle w:val="6"/>
          <w:rFonts w:hint="eastAsia"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 xml:space="preserve">负责对事件中涉及市场监管部门管辖的虚假违法广告等违法违规行为进行调查处理。 </w:t>
      </w:r>
    </w:p>
    <w:p>
      <w:pPr>
        <w:snapToGrid/>
        <w:spacing w:before="0" w:beforeAutospacing="0" w:after="0" w:afterAutospacing="0" w:line="588" w:lineRule="exact"/>
        <w:ind w:firstLine="658" w:firstLineChars="200"/>
        <w:jc w:val="both"/>
        <w:textAlignment w:val="baseline"/>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pPr>
      <w:r>
        <w:rPr>
          <w:rStyle w:val="6"/>
          <w:rFonts w:hint="eastAsia" w:ascii="仿宋_GB2312" w:eastAsia="仿宋_GB2312"/>
          <w:b/>
          <w:bCs/>
          <w:i w:val="0"/>
          <w:caps w:val="0"/>
          <w:color w:val="000000" w:themeColor="text1"/>
          <w:spacing w:val="0"/>
          <w:w w:val="100"/>
          <w:kern w:val="2"/>
          <w:sz w:val="32"/>
          <w:szCs w:val="32"/>
          <w:lang w:val="en-US" w:eastAsia="zh-CN" w:bidi="ar-SA"/>
          <w14:textFill>
            <w14:solidFill>
              <w14:schemeClr w14:val="tx1"/>
            </w14:solidFill>
          </w14:textFill>
        </w:rPr>
        <w:t>16.</w:t>
      </w:r>
      <w:r>
        <w:rPr>
          <w:rStyle w:val="6"/>
          <w:rFonts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县信访局：</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 xml:space="preserve">负责处理事件中发生的群众来信来访事项。 </w:t>
      </w:r>
    </w:p>
    <w:p>
      <w:pPr>
        <w:snapToGrid/>
        <w:spacing w:before="0" w:beforeAutospacing="0" w:after="0" w:afterAutospacing="0" w:line="588" w:lineRule="exact"/>
        <w:ind w:firstLine="658" w:firstLineChars="200"/>
        <w:jc w:val="both"/>
        <w:textAlignment w:val="baseline"/>
        <w:rPr>
          <w:rStyle w:val="6"/>
          <w:rFonts w:ascii="Times New Roman" w:hAnsi="Times New Roman"/>
          <w:b/>
          <w:i w:val="0"/>
          <w:caps w:val="0"/>
          <w:color w:val="000000" w:themeColor="text1"/>
          <w:spacing w:val="0"/>
          <w:w w:val="100"/>
          <w:kern w:val="2"/>
          <w:sz w:val="32"/>
          <w:szCs w:val="32"/>
          <w:lang w:val="en-US" w:eastAsia="zh-CN" w:bidi="ar-SA"/>
          <w14:textFill>
            <w14:solidFill>
              <w14:schemeClr w14:val="tx1"/>
            </w14:solidFill>
          </w14:textFill>
        </w:rPr>
        <w:sectPr>
          <w:footerReference r:id="rId3" w:type="default"/>
          <w:pgSz w:w="11906" w:h="16838"/>
          <w:pgMar w:top="1474" w:right="1474" w:bottom="1474" w:left="1474" w:header="851" w:footer="992" w:gutter="0"/>
          <w:lnNumType w:countBy="0"/>
          <w:pgNumType w:fmt="decimal" w:start="1"/>
          <w:cols w:space="425" w:num="1"/>
          <w:vAlign w:val="top"/>
          <w:docGrid w:type="linesAndChars" w:linePitch="331" w:charSpace="1852"/>
        </w:sectPr>
      </w:pPr>
      <w:r>
        <w:rPr>
          <w:rStyle w:val="6"/>
          <w:rFonts w:hint="eastAsia" w:ascii="仿宋_GB2312" w:eastAsia="仿宋_GB2312"/>
          <w:b/>
          <w:bCs/>
          <w:i w:val="0"/>
          <w:caps w:val="0"/>
          <w:color w:val="000000" w:themeColor="text1"/>
          <w:spacing w:val="0"/>
          <w:w w:val="100"/>
          <w:kern w:val="2"/>
          <w:sz w:val="32"/>
          <w:szCs w:val="32"/>
          <w:lang w:val="en-US" w:eastAsia="zh-CN" w:bidi="ar-SA"/>
          <w14:textFill>
            <w14:solidFill>
              <w14:schemeClr w14:val="tx1"/>
            </w14:solidFill>
          </w14:textFill>
        </w:rPr>
        <w:t>17.</w:t>
      </w:r>
      <w:r>
        <w:rPr>
          <w:rStyle w:val="6"/>
          <w:rFonts w:ascii="仿宋_GB2312"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县医保局：</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 xml:space="preserve">依据本部门职责，负责应急药品、医疗器械招采、医保支付等工作。 </w:t>
      </w:r>
      <w:r>
        <w:rPr>
          <w:rStyle w:val="6"/>
          <w:rFonts w:asci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br w:type="textWrapp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6"/>
        <w:kern w:val="2"/>
        <w:sz w:val="18"/>
        <w:szCs w:val="24"/>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OJOWjLQBAABSAwAADgAAAAAAAAABACAAAAA0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Style w:val="6"/>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widowControl/>
                            <w:snapToGrid w:val="0"/>
                            <w:jc w:val="left"/>
                            <w:textAlignment w:val="baseline"/>
                            <w:rPr>
                              <w:rStyle w:val="6"/>
                              <w:kern w:val="2"/>
                              <w:sz w:val="18"/>
                              <w:szCs w:val="24"/>
                              <w:lang w:val="en-US" w:eastAsia="zh-CN" w:bidi="ar-SA"/>
                            </w:rPr>
                          </w:pPr>
                        </w:p>
                        <w:p>
                          <w:pPr>
                            <w:jc w:val="both"/>
                            <w:textAlignment w:val="baseline"/>
                            <w:rPr>
                              <w:rStyle w:val="6"/>
                              <w:kern w:val="2"/>
                              <w:sz w:val="21"/>
                              <w:szCs w:val="24"/>
                              <w:lang w:val="en-US" w:eastAsia="zh-CN" w:bidi="ar-SA"/>
                            </w:rPr>
                          </w:pPr>
                        </w:p>
                      </w:txbxContent>
                    </wps:txbx>
                    <wps:bodyPr lIns="0" tIns="0" rIns="0" bIns="0" upright="true"/>
                  </wps:wsp>
                </a:graphicData>
              </a:graphic>
            </wp:anchor>
          </w:drawing>
        </mc:Choice>
        <mc:Fallback>
          <w:pict>
            <v:shape id="_x0000_s1026" o:spid="_x0000_s1026" o:spt="202" type="#_x0000_t202" style="position:absolute;left:0pt;margin-top:0pt;height:144pt;width:144pt;mso-position-horizontal:right;mso-position-horizontal-relative:margin;z-index:251660288;mso-width-relative:page;mso-height-relative:page;" filled="f" stroked="f" coordsize="21600,21600" o:gfxdata="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WAAAAZHJzL1BLAQIUABQAAAAIAIdO4kBZpPZA0gAA&#10;AAUBAAAPAAAAAAAAAAEAIAAAADgAAABkcnMvZG93bnJldi54bWxQSwECFAAUAAAACACHTuJAR0yV&#10;l5wBAAArAwAADgAAAAAAAAABACAAAAA3AQAAZHJzL2Uyb0RvYy54bWxQSwUGAAAAAAYABgBZAQAA&#10;RQUAAAAA&#10;">
              <v:fill on="f" focussize="0,0"/>
              <v:stroke on="f"/>
              <v:imagedata o:title=""/>
              <o:lock v:ext="edit" aspectratio="f"/>
              <v:textbox inset="0mm,0mm,0mm,0mm">
                <w:txbxContent>
                  <w:p>
                    <w:pPr>
                      <w:pStyle w:val="3"/>
                      <w:widowControl/>
                      <w:snapToGrid w:val="0"/>
                      <w:jc w:val="left"/>
                      <w:textAlignment w:val="baseline"/>
                      <w:rPr>
                        <w:rStyle w:val="6"/>
                        <w:kern w:val="2"/>
                        <w:sz w:val="18"/>
                        <w:szCs w:val="24"/>
                        <w:lang w:val="en-US" w:eastAsia="zh-CN" w:bidi="ar-SA"/>
                      </w:rPr>
                    </w:pPr>
                  </w:p>
                  <w:p>
                    <w:pPr>
                      <w:jc w:val="both"/>
                      <w:textAlignment w:val="baseline"/>
                      <w:rPr>
                        <w:rStyle w:val="6"/>
                        <w:kern w:val="2"/>
                        <w:sz w:val="21"/>
                        <w:szCs w:val="24"/>
                        <w:lang w:val="en-US" w:eastAsia="zh-CN" w:bidi="ar-SA"/>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7"/>
      <w:suff w:val="nothing"/>
      <w:lvlText w:val="%1."/>
      <w:lvlJc w:val="left"/>
      <w:pPr>
        <w:widowControl/>
        <w:tabs>
          <w:tab w:val="left" w:pos="420"/>
        </w:tabs>
        <w:ind w:left="425" w:hanging="425"/>
        <w:textAlignment w:val="baseline"/>
      </w:pPr>
    </w:lvl>
    <w:lvl w:ilvl="1" w:tentative="0">
      <w:start w:val="1"/>
      <w:numFmt w:val="decimal"/>
      <w:suff w:val="nothing"/>
      <w:lvlText w:val="%1.%2."/>
      <w:lvlJc w:val="left"/>
      <w:pPr>
        <w:widowControl/>
        <w:tabs>
          <w:tab w:val="left" w:pos="420"/>
        </w:tabs>
        <w:ind w:left="567" w:hanging="567"/>
        <w:textAlignment w:val="baseline"/>
      </w:pPr>
    </w:lvl>
    <w:lvl w:ilvl="2" w:tentative="0">
      <w:start w:val="1"/>
      <w:numFmt w:val="decimal"/>
      <w:lvlText w:val="%1.%2.%3."/>
      <w:lvlJc w:val="left"/>
      <w:pPr>
        <w:widowControl/>
        <w:ind w:left="709" w:hanging="709"/>
        <w:textAlignment w:val="baseline"/>
      </w:pPr>
    </w:lvl>
    <w:lvl w:ilvl="3" w:tentative="0">
      <w:start w:val="1"/>
      <w:numFmt w:val="decimal"/>
      <w:lvlText w:val="%1.%2.%3.%4."/>
      <w:lvlJc w:val="left"/>
      <w:pPr>
        <w:widowControl/>
        <w:ind w:left="850" w:hanging="850"/>
        <w:textAlignment w:val="baseline"/>
      </w:pPr>
    </w:lvl>
    <w:lvl w:ilvl="4" w:tentative="0">
      <w:start w:val="1"/>
      <w:numFmt w:val="decimal"/>
      <w:lvlText w:val="%1.%2.%3.%4.%5."/>
      <w:lvlJc w:val="left"/>
      <w:pPr>
        <w:widowControl/>
        <w:ind w:left="991" w:hanging="991"/>
        <w:textAlignment w:val="baseline"/>
      </w:pPr>
    </w:lvl>
    <w:lvl w:ilvl="5" w:tentative="0">
      <w:start w:val="1"/>
      <w:numFmt w:val="decimal"/>
      <w:lvlText w:val="%1.%2.%3.%4.%5.%6."/>
      <w:lvlJc w:val="left"/>
      <w:pPr>
        <w:widowControl/>
        <w:ind w:left="1134" w:hanging="1134"/>
        <w:textAlignment w:val="baseline"/>
      </w:pPr>
    </w:lvl>
    <w:lvl w:ilvl="6" w:tentative="0">
      <w:start w:val="1"/>
      <w:numFmt w:val="decimal"/>
      <w:lvlText w:val="%1.%2.%3.%4.%5.%6.%7."/>
      <w:lvlJc w:val="left"/>
      <w:pPr>
        <w:widowControl/>
        <w:ind w:left="1275" w:hanging="1275"/>
        <w:textAlignment w:val="baseline"/>
      </w:pPr>
    </w:lvl>
    <w:lvl w:ilvl="7" w:tentative="0">
      <w:start w:val="1"/>
      <w:numFmt w:val="decimal"/>
      <w:lvlText w:val="%1.%2.%3.%4.%5.%6.%7.%8."/>
      <w:lvlJc w:val="left"/>
      <w:pPr>
        <w:widowControl/>
        <w:ind w:left="1418" w:hanging="1418"/>
        <w:textAlignment w:val="baseline"/>
      </w:pPr>
    </w:lvl>
    <w:lvl w:ilvl="8" w:tentative="0">
      <w:start w:val="1"/>
      <w:numFmt w:val="decimal"/>
      <w:lvlText w:val="%1.%2.%3.%4.%5.%6.%7.%8.%9."/>
      <w:lvlJc w:val="left"/>
      <w:pPr>
        <w:widowControl/>
        <w:ind w:left="1558" w:hanging="1558"/>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BBE4C"/>
    <w:rsid w:val="7BFBB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
    <w:qFormat/>
    <w:uiPriority w:val="0"/>
    <w:pPr>
      <w:widowControl w:val="0"/>
      <w:jc w:val="both"/>
    </w:pPr>
    <w:rPr>
      <w:rFonts w:ascii="仿宋" w:hAnsi="仿宋" w:eastAsia="宋体" w:cs="Times New Roman"/>
      <w:kern w:val="2"/>
      <w:sz w:val="3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NormalCharacter"/>
    <w:link w:val="1"/>
    <w:qFormat/>
    <w:uiPriority w:val="0"/>
    <w:rPr>
      <w:rFonts w:ascii="仿宋" w:hAnsi="仿宋" w:eastAsia="宋体" w:cs="Times New Roman"/>
      <w:kern w:val="2"/>
      <w:sz w:val="32"/>
      <w:lang w:val="en-US" w:eastAsia="zh-CN"/>
    </w:rPr>
  </w:style>
  <w:style w:type="paragraph" w:customStyle="1" w:styleId="7">
    <w:name w:val="Heading1"/>
    <w:basedOn w:val="1"/>
    <w:next w:val="1"/>
    <w:qFormat/>
    <w:uiPriority w:val="0"/>
    <w:pPr>
      <w:keepNext/>
      <w:keepLines/>
      <w:numPr>
        <w:ilvl w:val="0"/>
        <w:numId w:val="1"/>
      </w:numPr>
      <w:spacing w:line="360" w:lineRule="auto"/>
      <w:jc w:val="both"/>
      <w:textAlignment w:val="baseline"/>
    </w:pPr>
    <w:rPr>
      <w:rFonts w:eastAsia="黑体"/>
      <w:b/>
      <w:kern w:val="44"/>
      <w:sz w:val="21"/>
      <w:szCs w:val="24"/>
      <w:lang w:val="en-US" w:eastAsia="zh-CN" w:bidi="ar-SA"/>
    </w:rPr>
  </w:style>
  <w:style w:type="paragraph" w:customStyle="1" w:styleId="8">
    <w:name w:val="NormalIndent"/>
    <w:basedOn w:val="1"/>
    <w:qFormat/>
    <w:uiPriority w:val="0"/>
    <w:pPr>
      <w:ind w:firstLine="420" w:firstLineChars="200"/>
      <w:jc w:val="both"/>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2022-01-07T14:43:00Z</dcterms:created>
  <dc:creator>xc-201009285</dc:creator>
  <cp:lastModifiedBy>xc-201009285</cp:lastModifiedBy>
  <dcterms:modified xsi:type="dcterms:W3CDTF">2022-01-07T14:43:30Z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