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left"/>
        <w:textAlignment w:val="baseline"/>
        <w:rPr>
          <w:rStyle w:val="6"/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snapToGrid/>
        <w:spacing w:before="0" w:beforeAutospacing="0" w:after="0" w:afterAutospacing="0" w:line="560" w:lineRule="exact"/>
        <w:jc w:val="left"/>
        <w:textAlignment w:val="baseline"/>
        <w:rPr>
          <w:rStyle w:val="6"/>
          <w:rFonts w:eastAsia="黑体"/>
          <w:b w:val="0"/>
          <w:i w:val="0"/>
          <w:caps w:val="0"/>
          <w:color w:val="000000" w:themeColor="text1"/>
          <w:spacing w:val="0"/>
          <w:w w:val="100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Style w:val="6"/>
          <w:rFonts w:ascii="方正小标宋简体" w:hAnsi="方正小标宋简体" w:eastAsia="方正小标宋简体"/>
          <w:b w:val="0"/>
          <w:i w:val="0"/>
          <w:caps w:val="0"/>
          <w:color w:val="000000" w:themeColor="text1"/>
          <w:spacing w:val="0"/>
          <w:w w:val="100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方正小标宋简体" w:hAnsi="方正小标宋简体" w:eastAsia="方正小标宋简体"/>
          <w:b w:val="0"/>
          <w:i w:val="0"/>
          <w:caps w:val="0"/>
          <w:color w:val="000000" w:themeColor="text1"/>
          <w:spacing w:val="0"/>
          <w:w w:val="100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清涧县</w:t>
      </w:r>
      <w:r>
        <w:rPr>
          <w:rStyle w:val="6"/>
          <w:rFonts w:ascii="方正小标宋简体" w:hAnsi="方正小标宋简体" w:eastAsia="方正小标宋简体"/>
          <w:b w:val="0"/>
          <w:i w:val="0"/>
          <w:caps w:val="0"/>
          <w:color w:val="000000" w:themeColor="text1"/>
          <w:spacing w:val="0"/>
          <w:w w:val="100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药品和医疗器械安全突发事件分级标准</w:t>
      </w:r>
    </w:p>
    <w:tbl>
      <w:tblPr>
        <w:tblStyle w:val="4"/>
        <w:tblW w:w="8888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"/>
        <w:gridCol w:w="955"/>
        <w:gridCol w:w="6007"/>
        <w:gridCol w:w="709"/>
        <w:gridCol w:w="79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eastAsia="仿宋_GB2312" w:cs="Times New Roman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 w:cs="Times New Roman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分级</w:t>
            </w:r>
          </w:p>
        </w:tc>
        <w:tc>
          <w:tcPr>
            <w:tcW w:w="600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ind w:firstLine="480"/>
              <w:jc w:val="center"/>
              <w:textAlignment w:val="baseline"/>
              <w:rPr>
                <w:rStyle w:val="6"/>
                <w:rFonts w:eastAsia="仿宋_GB2312" w:cs="Times New Roman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 w:cs="Times New Roman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标 准 </w:t>
            </w:r>
          </w:p>
        </w:tc>
        <w:tc>
          <w:tcPr>
            <w:tcW w:w="7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eastAsia="仿宋_GB2312" w:cs="Times New Roman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 w:cs="Times New Roman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响应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eastAsia="仿宋_GB2312" w:cs="Times New Roman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 w:cs="Times New Roman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级别</w:t>
            </w:r>
          </w:p>
        </w:tc>
        <w:tc>
          <w:tcPr>
            <w:tcW w:w="792" w:type="dxa"/>
            <w:tcBorders>
              <w:top w:val="single" w:color="333333" w:sz="6" w:space="0"/>
              <w:left w:val="single" w:color="000000" w:sz="4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eastAsia="仿宋_GB2312" w:cs="Times New Roman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 w:cs="Times New Roman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启动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eastAsia="仿宋_GB2312" w:cs="Times New Roman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 w:cs="Times New Roman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级别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4" w:hRule="atLeast"/>
          <w:jc w:val="center"/>
        </w:trPr>
        <w:tc>
          <w:tcPr>
            <w:tcW w:w="425" w:type="dxa"/>
            <w:vMerge w:val="restart"/>
            <w:tcBorders>
              <w:top w:val="single" w:color="333333" w:sz="6" w:space="0"/>
              <w:left w:val="single" w:color="333333" w:sz="6" w:space="0"/>
              <w:bottom w:val="outset" w:color="000000" w:sz="6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级别</w:t>
            </w:r>
          </w:p>
        </w:tc>
        <w:tc>
          <w:tcPr>
            <w:tcW w:w="955" w:type="dxa"/>
            <w:tcBorders>
              <w:top w:val="single" w:color="333333" w:sz="6" w:space="0"/>
              <w:left w:val="single" w:color="000000" w:sz="4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特别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重大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（Ⅰ级）</w:t>
            </w:r>
          </w:p>
        </w:tc>
        <w:tc>
          <w:tcPr>
            <w:tcW w:w="600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在相对集中的时间、区域内，批号相对集中的同一药品、医疗器械引起临床表现相似，且罕见的或非预期的不良事件，或麻醉、精神药品群体滥用事件，或假劣药品、非法或不合格医疗器械引起的群体不良事件，涉及人数50人以上；或者引起特别严重不良事件（可能对人体造成永久性伤残、对器官功能造成永久性损伤或危及生命）的人数在10人以上。</w:t>
            </w:r>
          </w:p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2.同一批号药品、医疗器械短期内引起3例以上死亡病例。</w:t>
            </w:r>
          </w:p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3.短期内2个以上省（区、市）（含我省）因同一药品、医疗器械发生Ⅱ级药品安全突发事件。</w:t>
            </w:r>
          </w:p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4.国家药监部门认定的涉及我市的其他特别重大突发事件</w:t>
            </w:r>
          </w:p>
        </w:tc>
        <w:tc>
          <w:tcPr>
            <w:tcW w:w="7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left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Ⅰ级响应</w:t>
            </w:r>
          </w:p>
        </w:tc>
        <w:tc>
          <w:tcPr>
            <w:tcW w:w="792" w:type="dxa"/>
            <w:tcBorders>
              <w:top w:val="single" w:color="333333" w:sz="6" w:space="0"/>
              <w:left w:val="single" w:color="000000" w:sz="4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left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国家级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vMerge w:val="continue"/>
            <w:tcBorders>
              <w:top w:val="outset" w:color="000000" w:sz="6" w:space="0"/>
              <w:left w:val="single" w:color="333333" w:sz="6" w:space="0"/>
              <w:bottom w:val="outset" w:color="000000" w:sz="6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5" w:type="dxa"/>
            <w:tcBorders>
              <w:top w:val="single" w:color="333333" w:sz="6" w:space="0"/>
              <w:left w:val="single" w:color="000000" w:sz="4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重大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（Ⅱ级）</w:t>
            </w:r>
          </w:p>
        </w:tc>
        <w:tc>
          <w:tcPr>
            <w:tcW w:w="600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在相对集中的时间、区域内，批号相对集中的同一药品、医疗器械引起临床表现相似，且罕见的或非预期的不良事件，或麻醉、精神药品群体滥用事件，或假劣药品、非法或不合格医疗器械引起的群体不良事件，涉及人数30人以上，50人以下；或者引起特别严重不良事件（可能对人体造成永久性伤残、对器官功能造成永久性损伤或危及生命）的人数在5人以上。</w:t>
            </w:r>
          </w:p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2.同一批号药品、医疗器械短期内引起1例至2例死亡病例，且在同一区域内同时出现其他类似病例。</w:t>
            </w:r>
          </w:p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3.短期内我省2个以上设区市因同一药品、医疗器械发生Ⅲ级药品安全突发事件。</w:t>
            </w:r>
          </w:p>
          <w:p>
            <w:pPr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4.省级以上政府认定的其他重大药品安全突发事件</w:t>
            </w:r>
          </w:p>
        </w:tc>
        <w:tc>
          <w:tcPr>
            <w:tcW w:w="7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left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 w:cs="Times New Roman"/>
                <w:b w:val="0"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Ⅱ</w:t>
            </w: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级响应</w:t>
            </w:r>
          </w:p>
        </w:tc>
        <w:tc>
          <w:tcPr>
            <w:tcW w:w="792" w:type="dxa"/>
            <w:tcBorders>
              <w:top w:val="single" w:color="333333" w:sz="6" w:space="0"/>
              <w:left w:val="single" w:color="000000" w:sz="4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left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省级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vMerge w:val="continue"/>
            <w:tcBorders>
              <w:top w:val="outset" w:color="000000" w:sz="6" w:space="0"/>
              <w:left w:val="single" w:color="333333" w:sz="6" w:space="0"/>
              <w:bottom w:val="outset" w:color="000000" w:sz="6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5" w:type="dxa"/>
            <w:tcBorders>
              <w:top w:val="single" w:color="333333" w:sz="6" w:space="0"/>
              <w:left w:val="single" w:color="000000" w:sz="4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较大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（Ⅲ级）</w:t>
            </w:r>
          </w:p>
        </w:tc>
        <w:tc>
          <w:tcPr>
            <w:tcW w:w="600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在相对集中的时间、区域内，批号相对集中的同一药品、医疗器械引起临床表现相似，且罕见的或非预期的不良事件，或麻醉、精神药品群体滥用事件，或假劣药品、非法或不合格医疗器械引起的群体不良事件，涉及人数20人以上，30人以下；或者引起特别严重不良事件（可能对人体造成永久性伤残、对器官功能造成永久性损伤或危及生命）的人数在3人以上。</w:t>
            </w:r>
          </w:p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2.短期内我市2个以上县（市、区）因同一药品、医疗器械发生Ⅳ级药品安全突发事件。</w:t>
            </w:r>
          </w:p>
          <w:p>
            <w:pPr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3.市级以上</w:t>
            </w: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政府认定的其他较大药品安全突发事件。</w:t>
            </w:r>
          </w:p>
        </w:tc>
        <w:tc>
          <w:tcPr>
            <w:tcW w:w="7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left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 w:cs="Times New Roman"/>
                <w:b w:val="0"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Ⅲ</w:t>
            </w: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级响应</w:t>
            </w:r>
          </w:p>
        </w:tc>
        <w:tc>
          <w:tcPr>
            <w:tcW w:w="792" w:type="dxa"/>
            <w:tcBorders>
              <w:top w:val="single" w:color="333333" w:sz="6" w:space="0"/>
              <w:left w:val="single" w:color="000000" w:sz="4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left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市级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9" w:hRule="atLeast"/>
          <w:jc w:val="center"/>
        </w:trPr>
        <w:tc>
          <w:tcPr>
            <w:tcW w:w="425" w:type="dxa"/>
            <w:vMerge w:val="continue"/>
            <w:tcBorders>
              <w:top w:val="outset" w:color="000000" w:sz="6" w:space="0"/>
              <w:left w:val="single" w:color="333333" w:sz="6" w:space="0"/>
              <w:bottom w:val="outset" w:color="000000" w:sz="6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5" w:type="dxa"/>
            <w:tcBorders>
              <w:top w:val="single" w:color="333333" w:sz="6" w:space="0"/>
              <w:left w:val="single" w:color="000000" w:sz="4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一般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（Ⅳ级）</w:t>
            </w:r>
          </w:p>
        </w:tc>
        <w:tc>
          <w:tcPr>
            <w:tcW w:w="600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在相对集中的时间、区域内，批号相对集中的同一药品、医疗器械引起临床表现相似，且罕见的或非预期的不良事件，或麻醉、精神药品群体滥用事件，或假劣药品、非法或不合格医疗器械引起的群体不良事件，涉及人数10人以上，20人以下；或者引起特别严重不良事件（可能对人体造成永久性伤残、对器官功能造成永久性损伤或危及生命）人数为2人的。</w:t>
            </w:r>
          </w:p>
          <w:p>
            <w:pPr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2.县级以上政府认定的其他一般药品安全突发事件。</w:t>
            </w:r>
          </w:p>
        </w:tc>
        <w:tc>
          <w:tcPr>
            <w:tcW w:w="7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left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Ⅳ级响应</w:t>
            </w:r>
          </w:p>
        </w:tc>
        <w:tc>
          <w:tcPr>
            <w:tcW w:w="792" w:type="dxa"/>
            <w:tcBorders>
              <w:top w:val="single" w:color="333333" w:sz="6" w:space="0"/>
              <w:left w:val="single" w:color="000000" w:sz="4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left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县级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2" w:hRule="atLeast"/>
          <w:jc w:val="center"/>
        </w:trPr>
        <w:tc>
          <w:tcPr>
            <w:tcW w:w="1380" w:type="dxa"/>
            <w:gridSpan w:val="2"/>
            <w:tcBorders>
              <w:top w:val="outset" w:color="000000" w:sz="6" w:space="0"/>
              <w:left w:val="single" w:color="333333" w:sz="6" w:space="0"/>
              <w:bottom w:val="outset" w:color="000000" w:sz="6" w:space="0"/>
              <w:right w:val="single" w:color="333333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非级别</w:t>
            </w:r>
          </w:p>
        </w:tc>
        <w:tc>
          <w:tcPr>
            <w:tcW w:w="600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在相对集中的时间、区域内，批号相对集中的同一药品、医疗器械引起临床表现相似的，且罕见的或非预期的不良事件，或麻醉、精神药品群体滥用事件，或假劣药品、非法或不合格医疗器械引起的群体不良事件，涉及人数10人以下；或者引起特别严重不良事件（可能对人体造成永久性伤残、对器官功能造成永久性损伤或危及生命）人数为1人的。</w:t>
            </w:r>
          </w:p>
          <w:p>
            <w:pPr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2.县级以上政府认定的非级别药品安全和舆情突发事件。</w:t>
            </w:r>
          </w:p>
        </w:tc>
        <w:tc>
          <w:tcPr>
            <w:tcW w:w="7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left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非级别响应</w:t>
            </w:r>
          </w:p>
        </w:tc>
        <w:tc>
          <w:tcPr>
            <w:tcW w:w="792" w:type="dxa"/>
            <w:tcBorders>
              <w:top w:val="single" w:color="333333" w:sz="6" w:space="0"/>
              <w:left w:val="single" w:color="000000" w:sz="4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left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县级</w:t>
            </w:r>
          </w:p>
        </w:tc>
      </w:tr>
    </w:tbl>
    <w:p>
      <w:pPr>
        <w:pStyle w:val="8"/>
        <w:widowControl/>
        <w:snapToGrid/>
        <w:spacing w:before="0" w:beforeAutospacing="0" w:after="0" w:afterAutospacing="0" w:line="280" w:lineRule="exact"/>
        <w:ind w:firstLine="420" w:firstLineChars="0"/>
        <w:jc w:val="both"/>
        <w:textAlignment w:val="baseline"/>
        <w:rPr>
          <w:rStyle w:val="6"/>
          <w:rFonts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24"/>
          <w14:textFill>
            <w14:solidFill>
              <w14:schemeClr w14:val="tx1"/>
            </w14:solidFill>
          </w14:textFill>
        </w:rPr>
      </w:pPr>
    </w:p>
    <w:p>
      <w:pPr>
        <w:pStyle w:val="8"/>
        <w:widowControl/>
        <w:snapToGrid/>
        <w:spacing w:before="0" w:beforeAutospacing="0" w:after="0" w:afterAutospacing="0" w:line="280" w:lineRule="exact"/>
        <w:ind w:firstLine="420" w:firstLineChars="0"/>
        <w:jc w:val="both"/>
        <w:textAlignment w:val="baseline"/>
        <w:rPr>
          <w:rStyle w:val="6"/>
          <w:rFonts w:eastAsia="黑体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24"/>
          <w14:textFill>
            <w14:solidFill>
              <w14:schemeClr w14:val="tx1"/>
            </w14:solidFill>
          </w14:textFill>
        </w:rPr>
        <w:t>注：本预案有关数量的表述中，“以上”“超过”含本数，“以下”不含本数。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snapToGrid w:val="0"/>
      <w:jc w:val="left"/>
      <w:textAlignment w:val="baseline"/>
      <w:rPr>
        <w:rStyle w:val="6"/>
        <w:kern w:val="2"/>
        <w:sz w:val="18"/>
        <w:szCs w:val="24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OJOWjLQBAABSAwAADgAAAAAAAAABACAAAAA0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6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6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jc w:val="both"/>
                            <w:textAlignment w:val="baseline"/>
                            <w:rPr>
                              <w:rStyle w:val="6"/>
                              <w:kern w:val="2"/>
                              <w:sz w:val="21"/>
                              <w:szCs w:val="24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lIns="0" tIns="0" rIns="0" bIns="0" upright="true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z-index:251660288;mso-width-relative:page;mso-height-relative:page;" filled="f" stroked="f" coordsize="21600,21600" o:gfxdata="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ZpPZA0gAA&#10;AAUBAAAPAAAAAAAAAAEAIAAAADgAAABkcnMvZG93bnJldi54bWxQSwECFAAUAAAACACHTuJAR0yV&#10;l5wBAAArAwAADgAAAAAAAAABACAAAAA3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widowControl/>
                      <w:snapToGrid w:val="0"/>
                      <w:jc w:val="left"/>
                      <w:textAlignment w:val="baseline"/>
                      <w:rPr>
                        <w:rStyle w:val="6"/>
                        <w:kern w:val="2"/>
                        <w:sz w:val="18"/>
                        <w:szCs w:val="24"/>
                        <w:lang w:val="en-US" w:eastAsia="zh-CN" w:bidi="ar-SA"/>
                      </w:rPr>
                    </w:pPr>
                  </w:p>
                  <w:p>
                    <w:pPr>
                      <w:jc w:val="both"/>
                      <w:textAlignment w:val="baseline"/>
                      <w:rPr>
                        <w:rStyle w:val="6"/>
                        <w:kern w:val="2"/>
                        <w:sz w:val="21"/>
                        <w:szCs w:val="24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1"/>
      <w:numFmt w:val="decimal"/>
      <w:pStyle w:val="7"/>
      <w:suff w:val="nothing"/>
      <w:lvlText w:val="%1."/>
      <w:lvlJc w:val="left"/>
      <w:pPr>
        <w:widowControl/>
        <w:tabs>
          <w:tab w:val="left" w:pos="420"/>
        </w:tabs>
        <w:ind w:left="425" w:hanging="425"/>
        <w:textAlignment w:val="baseline"/>
      </w:pPr>
    </w:lvl>
    <w:lvl w:ilvl="1" w:tentative="0">
      <w:start w:val="1"/>
      <w:numFmt w:val="decimal"/>
      <w:suff w:val="nothing"/>
      <w:lvlText w:val="%1.%2."/>
      <w:lvlJc w:val="left"/>
      <w:pPr>
        <w:widowControl/>
        <w:tabs>
          <w:tab w:val="left" w:pos="420"/>
        </w:tabs>
        <w:ind w:left="567" w:hanging="567"/>
        <w:textAlignment w:val="baseline"/>
      </w:pPr>
    </w:lvl>
    <w:lvl w:ilvl="2" w:tentative="0">
      <w:start w:val="1"/>
      <w:numFmt w:val="decimal"/>
      <w:lvlText w:val="%1.%2.%3."/>
      <w:lvlJc w:val="left"/>
      <w:pPr>
        <w:widowControl/>
        <w:ind w:left="709" w:hanging="709"/>
        <w:textAlignment w:val="baseline"/>
      </w:pPr>
    </w:lvl>
    <w:lvl w:ilvl="3" w:tentative="0">
      <w:start w:val="1"/>
      <w:numFmt w:val="decimal"/>
      <w:lvlText w:val="%1.%2.%3.%4."/>
      <w:lvlJc w:val="left"/>
      <w:pPr>
        <w:widowControl/>
        <w:ind w:left="850" w:hanging="850"/>
        <w:textAlignment w:val="baseline"/>
      </w:pPr>
    </w:lvl>
    <w:lvl w:ilvl="4" w:tentative="0">
      <w:start w:val="1"/>
      <w:numFmt w:val="decimal"/>
      <w:lvlText w:val="%1.%2.%3.%4.%5."/>
      <w:lvlJc w:val="left"/>
      <w:pPr>
        <w:widowControl/>
        <w:ind w:left="991" w:hanging="991"/>
        <w:textAlignment w:val="baseline"/>
      </w:pPr>
    </w:lvl>
    <w:lvl w:ilvl="5" w:tentative="0">
      <w:start w:val="1"/>
      <w:numFmt w:val="decimal"/>
      <w:lvlText w:val="%1.%2.%3.%4.%5.%6."/>
      <w:lvlJc w:val="left"/>
      <w:pPr>
        <w:widowControl/>
        <w:ind w:left="1134" w:hanging="1134"/>
        <w:textAlignment w:val="baseline"/>
      </w:pPr>
    </w:lvl>
    <w:lvl w:ilvl="6" w:tentative="0">
      <w:start w:val="1"/>
      <w:numFmt w:val="decimal"/>
      <w:lvlText w:val="%1.%2.%3.%4.%5.%6.%7."/>
      <w:lvlJc w:val="left"/>
      <w:pPr>
        <w:widowControl/>
        <w:ind w:left="1275" w:hanging="1275"/>
        <w:textAlignment w:val="baseline"/>
      </w:pPr>
    </w:lvl>
    <w:lvl w:ilvl="7" w:tentative="0">
      <w:start w:val="1"/>
      <w:numFmt w:val="decimal"/>
      <w:lvlText w:val="%1.%2.%3.%4.%5.%6.%7.%8."/>
      <w:lvlJc w:val="left"/>
      <w:pPr>
        <w:widowControl/>
        <w:ind w:left="1418" w:hanging="1418"/>
        <w:textAlignment w:val="baseline"/>
      </w:pPr>
    </w:lvl>
    <w:lvl w:ilvl="8" w:tentative="0">
      <w:start w:val="1"/>
      <w:numFmt w:val="decimal"/>
      <w:lvlText w:val="%1.%2.%3.%4.%5.%6.%7.%8.%9."/>
      <w:lvlJc w:val="left"/>
      <w:pPr>
        <w:widowControl/>
        <w:ind w:left="1558" w:hanging="1558"/>
        <w:textAlignment w:val="baseline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BBE4C"/>
    <w:rsid w:val="7BFBBE4C"/>
    <w:rsid w:val="B7FED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6"/>
    <w:qFormat/>
    <w:uiPriority w:val="0"/>
    <w:pPr>
      <w:widowControl w:val="0"/>
      <w:jc w:val="both"/>
    </w:pPr>
    <w:rPr>
      <w:rFonts w:ascii="仿宋" w:hAnsi="仿宋" w:eastAsia="宋体" w:cs="Times New Roman"/>
      <w:kern w:val="2"/>
      <w:sz w:val="3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NormalCharacter"/>
    <w:link w:val="1"/>
    <w:qFormat/>
    <w:uiPriority w:val="0"/>
    <w:rPr>
      <w:rFonts w:ascii="仿宋" w:hAnsi="仿宋" w:eastAsia="宋体" w:cs="Times New Roman"/>
      <w:kern w:val="2"/>
      <w:sz w:val="32"/>
      <w:lang w:val="en-US" w:eastAsia="zh-CN"/>
    </w:rPr>
  </w:style>
  <w:style w:type="paragraph" w:customStyle="1" w:styleId="7">
    <w:name w:val="Heading1"/>
    <w:basedOn w:val="1"/>
    <w:next w:val="1"/>
    <w:qFormat/>
    <w:uiPriority w:val="0"/>
    <w:pPr>
      <w:keepNext/>
      <w:keepLines/>
      <w:numPr>
        <w:ilvl w:val="0"/>
        <w:numId w:val="1"/>
      </w:numPr>
      <w:spacing w:line="360" w:lineRule="auto"/>
      <w:jc w:val="both"/>
      <w:textAlignment w:val="baseline"/>
    </w:pPr>
    <w:rPr>
      <w:rFonts w:eastAsia="黑体"/>
      <w:b/>
      <w:kern w:val="44"/>
      <w:sz w:val="21"/>
      <w:szCs w:val="24"/>
      <w:lang w:val="en-US" w:eastAsia="zh-CN" w:bidi="ar-SA"/>
    </w:rPr>
  </w:style>
  <w:style w:type="paragraph" w:customStyle="1" w:styleId="8">
    <w:name w:val="NormalIndent"/>
    <w:basedOn w:val="1"/>
    <w:qFormat/>
    <w:uiPriority w:val="0"/>
    <w:pPr>
      <w:ind w:firstLine="420" w:firstLineChars="20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2022-01-07T14:43:00Z</dcterms:created>
  <dc:creator>xc-201009285</dc:creator>
  <cp:lastModifiedBy>xc-201009285</cp:lastModifiedBy>
  <dcterms:modified xsi:type="dcterms:W3CDTF">2022-01-07T14:44:23Z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</Properties>
</file>