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eastAsia="宋体"/>
          <w:b/>
          <w:sz w:val="36"/>
          <w:lang w:val="en-US" w:eastAsia="zh-CN"/>
        </w:rPr>
      </w:pPr>
      <w:r>
        <w:rPr>
          <w:rFonts w:hint="eastAsia" w:ascii="黑体" w:hAnsi="黑体" w:eastAsia="黑体"/>
          <w:b w:val="0"/>
          <w:sz w:val="28"/>
        </w:rPr>
        <w:t>附件</w:t>
      </w:r>
      <w:r>
        <w:rPr>
          <w:rFonts w:hint="eastAsia" w:ascii="黑体" w:hAnsi="黑体" w:eastAsia="黑体"/>
          <w:b w:val="0"/>
          <w:sz w:val="28"/>
          <w:lang w:val="en-US" w:eastAsia="zh-CN"/>
        </w:rPr>
        <w:t>2</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883" w:firstLineChars="200"/>
        <w:jc w:val="both"/>
        <w:textAlignment w:val="baseline"/>
        <w:outlineLvl w:val="9"/>
        <w:rPr>
          <w:rFonts w:hint="eastAsia"/>
          <w:b/>
          <w:sz w:val="44"/>
        </w:rPr>
      </w:pPr>
    </w:p>
    <w:p>
      <w:pPr>
        <w:ind w:left="0" w:leftChars="0" w:firstLine="0" w:firstLineChars="0"/>
        <w:jc w:val="center"/>
        <w:rPr>
          <w:rFonts w:hint="eastAsia"/>
          <w:b/>
          <w:sz w:val="44"/>
        </w:rPr>
      </w:pPr>
      <w:r>
        <w:rPr>
          <w:rFonts w:hint="eastAsia"/>
          <w:b/>
          <w:sz w:val="44"/>
        </w:rPr>
        <w:t>健康清涧行动考核指标框架</w:t>
      </w:r>
    </w:p>
    <w:p>
      <w:pPr>
        <w:jc w:val="both"/>
        <w:rPr>
          <w:rFonts w:hint="eastAsia"/>
          <w:b/>
          <w:sz w:val="15"/>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86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817" w:type="dxa"/>
            <w:noWrap w:val="0"/>
            <w:vAlign w:val="center"/>
          </w:tcPr>
          <w:p>
            <w:pPr>
              <w:ind w:firstLine="0" w:firstLineChars="0"/>
              <w:jc w:val="center"/>
              <w:rPr>
                <w:rFonts w:hint="eastAsia" w:ascii="宋体" w:hAnsi="宋体"/>
                <w:b/>
                <w:sz w:val="28"/>
              </w:rPr>
            </w:pPr>
            <w:r>
              <w:rPr>
                <w:rFonts w:hint="eastAsia" w:ascii="宋体" w:hAnsi="宋体"/>
                <w:b/>
                <w:sz w:val="28"/>
              </w:rPr>
              <w:t>序号</w:t>
            </w:r>
          </w:p>
        </w:tc>
        <w:tc>
          <w:tcPr>
            <w:tcW w:w="4864" w:type="dxa"/>
            <w:noWrap w:val="0"/>
            <w:vAlign w:val="center"/>
          </w:tcPr>
          <w:p>
            <w:pPr>
              <w:ind w:firstLine="0" w:firstLineChars="0"/>
              <w:jc w:val="center"/>
              <w:rPr>
                <w:rFonts w:hint="eastAsia" w:ascii="宋体" w:hAnsi="宋体"/>
                <w:b/>
                <w:sz w:val="28"/>
              </w:rPr>
            </w:pPr>
            <w:r>
              <w:rPr>
                <w:rFonts w:hint="eastAsia" w:ascii="宋体" w:hAnsi="宋体"/>
                <w:b/>
                <w:sz w:val="28"/>
              </w:rPr>
              <w:t>指标</w:t>
            </w:r>
          </w:p>
        </w:tc>
        <w:tc>
          <w:tcPr>
            <w:tcW w:w="2841" w:type="dxa"/>
            <w:noWrap w:val="0"/>
            <w:vAlign w:val="center"/>
          </w:tcPr>
          <w:p>
            <w:pPr>
              <w:ind w:firstLine="0" w:firstLineChars="0"/>
              <w:jc w:val="center"/>
              <w:rPr>
                <w:rFonts w:hint="eastAsia" w:ascii="宋体" w:hAnsi="宋体"/>
                <w:b/>
                <w:sz w:val="28"/>
              </w:rPr>
            </w:pPr>
            <w:r>
              <w:rPr>
                <w:rFonts w:hint="eastAsia" w:ascii="宋体" w:hAnsi="宋体"/>
                <w:b/>
                <w:sz w:val="28"/>
              </w:rPr>
              <w:t>清涧考核目标值</w:t>
            </w:r>
          </w:p>
          <w:p>
            <w:pPr>
              <w:ind w:firstLine="0" w:firstLineChars="0"/>
              <w:jc w:val="center"/>
              <w:rPr>
                <w:rFonts w:hint="eastAsia" w:ascii="宋体" w:hAnsi="宋体"/>
                <w:b/>
                <w:sz w:val="28"/>
              </w:rPr>
            </w:pPr>
            <w:r>
              <w:rPr>
                <w:rFonts w:hint="eastAsia" w:ascii="宋体" w:hAnsi="宋体"/>
                <w:b/>
                <w:sz w:val="28"/>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1</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人均预期寿命(岁)</w:t>
            </w:r>
          </w:p>
        </w:tc>
        <w:tc>
          <w:tcPr>
            <w:tcW w:w="2841" w:type="dxa"/>
            <w:noWrap w:val="0"/>
            <w:vAlign w:val="center"/>
          </w:tcPr>
          <w:p>
            <w:pPr>
              <w:ind w:firstLine="0" w:firstLineChars="0"/>
              <w:jc w:val="center"/>
              <w:rPr>
                <w:rFonts w:hint="default" w:ascii="宋体" w:hAnsi="宋体" w:eastAsia="宋体"/>
                <w:color w:val="auto"/>
                <w:sz w:val="24"/>
                <w:lang w:val="en-US" w:eastAsia="zh-CN"/>
              </w:rPr>
            </w:pPr>
            <w:r>
              <w:rPr>
                <w:rFonts w:hint="eastAsia" w:ascii="宋体" w:hAnsi="宋体"/>
                <w:color w:val="auto"/>
                <w:sz w:val="24"/>
                <w:lang w:val="en-US" w:eastAsia="zh-CN"/>
              </w:rPr>
              <w:t>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2</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婴儿死亡率(‰)</w:t>
            </w:r>
          </w:p>
        </w:tc>
        <w:tc>
          <w:tcPr>
            <w:tcW w:w="2841" w:type="dxa"/>
            <w:noWrap w:val="0"/>
            <w:vAlign w:val="center"/>
          </w:tcPr>
          <w:p>
            <w:pPr>
              <w:ind w:firstLine="0" w:firstLineChars="0"/>
              <w:jc w:val="center"/>
              <w:rPr>
                <w:rFonts w:hint="eastAsia" w:ascii="宋体" w:hAnsi="宋体"/>
                <w:color w:val="auto"/>
                <w:sz w:val="24"/>
              </w:rPr>
            </w:pPr>
            <w:r>
              <w:rPr>
                <w:rFonts w:hint="eastAsia" w:ascii="宋体" w:hAnsi="宋体"/>
                <w:color w:val="auto"/>
                <w:sz w:val="24"/>
              </w:rPr>
              <w:t>≤</w:t>
            </w:r>
            <w:r>
              <w:rPr>
                <w:rFonts w:ascii="宋体" w:hAnsi="宋体"/>
                <w:color w:val="auto"/>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3</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5岁以下儿童死亡率(%o)</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w:t>
            </w:r>
            <w:r>
              <w:rPr>
                <w:rFonts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4</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孕产妇死亡率(1/10 万)</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w:t>
            </w:r>
            <w:r>
              <w:rPr>
                <w:rFonts w:ascii="宋体" w:hAnsi="宋体"/>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5</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城乡居民达到《国民体质测定标准》合格以上的人数比例(%)</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6</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居民健康素养水平(%)</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7</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经常参加体育锻炼人数比例(%)</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8</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重大慢性病过早死亡率(%)</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9</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每千常住人口执业(助理)医师数(人)</w:t>
            </w:r>
          </w:p>
        </w:tc>
        <w:tc>
          <w:tcPr>
            <w:tcW w:w="2841" w:type="dxa"/>
            <w:noWrap w:val="0"/>
            <w:vAlign w:val="center"/>
          </w:tcPr>
          <w:p>
            <w:pPr>
              <w:ind w:firstLine="0" w:firstLineChars="0"/>
              <w:jc w:val="center"/>
              <w:rPr>
                <w:rFonts w:hint="default" w:ascii="宋体" w:hAnsi="宋体" w:eastAsia="宋体"/>
                <w:sz w:val="24"/>
                <w:lang w:val="en-US" w:eastAsia="zh-CN"/>
              </w:rPr>
            </w:pPr>
            <w:r>
              <w:rPr>
                <w:rFonts w:ascii="宋体" w:hAnsi="宋体"/>
                <w:sz w:val="24"/>
              </w:rPr>
              <w:t>2</w:t>
            </w:r>
            <w:r>
              <w:rPr>
                <w:rFonts w:hint="eastAsia" w:ascii="宋体" w:hAnsi="宋体"/>
                <w:sz w:val="24"/>
                <w:lang w:eastAsia="zh-CN"/>
              </w:rPr>
              <w:t>.</w:t>
            </w:r>
            <w:r>
              <w:rPr>
                <w:rFonts w:hint="eastAsia" w:ascii="宋体" w:hAnsi="宋体"/>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10</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个人卫生支出占卫生总费用的比重(%)</w:t>
            </w:r>
          </w:p>
        </w:tc>
        <w:tc>
          <w:tcPr>
            <w:tcW w:w="2841" w:type="dxa"/>
            <w:noWrap w:val="0"/>
            <w:vAlign w:val="center"/>
          </w:tcPr>
          <w:p>
            <w:pPr>
              <w:ind w:firstLine="0" w:firstLineChars="0"/>
              <w:jc w:val="center"/>
              <w:rPr>
                <w:rFonts w:hint="eastAsia" w:ascii="宋体" w:hAnsi="宋体"/>
                <w:sz w:val="24"/>
              </w:rPr>
            </w:pPr>
            <w:r>
              <w:rPr>
                <w:rFonts w:ascii="宋体" w:hAnsi="宋体"/>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11</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建立并完善健康科普专家库和资源库，构建健康科普知识发布和传播机制</w:t>
            </w:r>
          </w:p>
        </w:tc>
        <w:tc>
          <w:tcPr>
            <w:tcW w:w="2841" w:type="dxa"/>
            <w:noWrap w:val="0"/>
            <w:vAlign w:val="center"/>
          </w:tcPr>
          <w:p>
            <w:pPr>
              <w:ind w:firstLine="0" w:firstLineChars="0"/>
              <w:jc w:val="center"/>
              <w:rPr>
                <w:rFonts w:hint="eastAsia" w:ascii="宋体" w:hAnsi="宋体"/>
                <w:color w:val="auto"/>
                <w:sz w:val="24"/>
              </w:rPr>
            </w:pPr>
            <w:r>
              <w:rPr>
                <w:rFonts w:hint="eastAsia" w:ascii="宋体" w:hAnsi="宋体"/>
                <w:color w:val="auto"/>
                <w:sz w:val="24"/>
              </w:rPr>
              <w:t>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12</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建立医疗机构和医务人员开展健康教育和健康促进的绩效考核机制</w:t>
            </w:r>
          </w:p>
        </w:tc>
        <w:tc>
          <w:tcPr>
            <w:tcW w:w="2841" w:type="dxa"/>
            <w:noWrap w:val="0"/>
            <w:vAlign w:val="center"/>
          </w:tcPr>
          <w:p>
            <w:pPr>
              <w:ind w:firstLine="0" w:firstLineChars="0"/>
              <w:jc w:val="center"/>
              <w:rPr>
                <w:rFonts w:hint="eastAsia" w:ascii="宋体" w:hAnsi="宋体"/>
                <w:color w:val="auto"/>
                <w:sz w:val="24"/>
              </w:rPr>
            </w:pPr>
            <w:r>
              <w:rPr>
                <w:rFonts w:hint="eastAsia" w:ascii="宋体" w:hAnsi="宋体"/>
                <w:color w:val="auto"/>
                <w:sz w:val="24"/>
              </w:rPr>
              <w:t>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13</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产前筛查率(%)</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w:t>
            </w:r>
            <w:r>
              <w:rPr>
                <w:rFonts w:ascii="宋体" w:hAnsi="宋体"/>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14</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新生儿遗传代谢性疾病筛查率(%)</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w:t>
            </w:r>
            <w:r>
              <w:rPr>
                <w:rFonts w:ascii="宋体" w:hAnsi="宋体"/>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15</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农村适龄妇女宫颈癌和乳腺癌筛查覆盖率(%)</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w:t>
            </w:r>
            <w:r>
              <w:rPr>
                <w:rFonts w:ascii="宋体" w:hAnsi="宋体"/>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16</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国家学生体质健康标准达标优良率(%)</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17</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符合要求的中小学体育与健康课程开课率(%)</w:t>
            </w:r>
          </w:p>
        </w:tc>
        <w:tc>
          <w:tcPr>
            <w:tcW w:w="2841" w:type="dxa"/>
            <w:noWrap w:val="0"/>
            <w:vAlign w:val="center"/>
          </w:tcPr>
          <w:p>
            <w:pPr>
              <w:ind w:firstLine="0" w:firstLineChars="0"/>
              <w:jc w:val="center"/>
              <w:rPr>
                <w:rFonts w:hint="eastAsia" w:ascii="宋体" w:hAnsi="宋体"/>
                <w:sz w:val="24"/>
              </w:rPr>
            </w:pPr>
            <w:r>
              <w:rPr>
                <w:rFonts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18</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中小学生每天校内体育活动时间(小时)</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19</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寄宿制中小学校或600名学生以上的非寄宿制中小学校配备专职卫生专业技术人员、600名学生以下的非寄宿制中小学校配备专兼职保健教师或卫生专业技术人员的比例(%)</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20</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配备专兼职心理健康工作人员的中小学校比例(%)</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21</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接尘工龄不足5年的劳动者新发尘肺病报告例数占年度报告总例数比例(%)</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22</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lang w:eastAsia="zh-CN"/>
              </w:rPr>
              <w:t>县</w:t>
            </w:r>
            <w:r>
              <w:rPr>
                <w:rFonts w:hint="eastAsia" w:ascii="宋体" w:hAnsi="宋体"/>
                <w:sz w:val="24"/>
              </w:rPr>
              <w:t>医院</w:t>
            </w:r>
            <w:r>
              <w:rPr>
                <w:rFonts w:hint="eastAsia" w:ascii="宋体" w:hAnsi="宋体"/>
                <w:sz w:val="24"/>
                <w:lang w:eastAsia="zh-CN"/>
              </w:rPr>
              <w:t>、中医院</w:t>
            </w:r>
            <w:r>
              <w:rPr>
                <w:rFonts w:hint="eastAsia" w:ascii="宋体" w:hAnsi="宋体"/>
                <w:sz w:val="24"/>
              </w:rPr>
              <w:t>设老年医学科</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lang w:eastAsia="zh-CN"/>
              </w:rPr>
              <w:t>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23</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高血压患者规范管理率(%)</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24</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糖尿病患者规范管理率(%)</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25</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镇（中心）卫生院、社区卫生服务中心提供中医非药物疗法的比例(%),村卫生室提供中医非药物疗法的比例(%)</w:t>
            </w:r>
          </w:p>
        </w:tc>
        <w:tc>
          <w:tcPr>
            <w:tcW w:w="2841" w:type="dxa"/>
            <w:noWrap w:val="0"/>
            <w:vAlign w:val="center"/>
          </w:tcPr>
          <w:p>
            <w:pPr>
              <w:ind w:firstLine="0" w:firstLineChars="0"/>
              <w:jc w:val="center"/>
              <w:rPr>
                <w:rFonts w:hint="eastAsia" w:ascii="宋体" w:hAnsi="宋体"/>
                <w:sz w:val="24"/>
              </w:rPr>
            </w:pPr>
            <w:r>
              <w:rPr>
                <w:rFonts w:ascii="宋体" w:hAnsi="宋体"/>
                <w:sz w:val="24"/>
              </w:rPr>
              <w:t>100%</w:t>
            </w:r>
            <w:r>
              <w:rPr>
                <w:rFonts w:hint="eastAsia" w:ascii="宋体" w:hAnsi="宋体"/>
                <w:sz w:val="24"/>
              </w:rPr>
              <w:t>，</w:t>
            </w:r>
            <w:r>
              <w:rPr>
                <w:rFonts w:ascii="宋体" w:hAnsi="宋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26</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以镇</w:t>
            </w:r>
            <w:r>
              <w:rPr>
                <w:rFonts w:hint="eastAsia" w:ascii="宋体" w:hAnsi="宋体"/>
                <w:sz w:val="24"/>
                <w:lang w:eastAsia="zh-CN"/>
              </w:rPr>
              <w:t>（中心）</w:t>
            </w:r>
            <w:r>
              <w:rPr>
                <w:rFonts w:hint="eastAsia" w:ascii="宋体" w:hAnsi="宋体"/>
                <w:sz w:val="24"/>
              </w:rPr>
              <w:t>为单位适龄儿童免疫规划疫苗接种率(%)</w:t>
            </w:r>
          </w:p>
        </w:tc>
        <w:tc>
          <w:tcPr>
            <w:tcW w:w="2841" w:type="dxa"/>
            <w:noWrap w:val="0"/>
            <w:vAlign w:val="center"/>
          </w:tcPr>
          <w:p>
            <w:pPr>
              <w:ind w:firstLine="0" w:firstLineChars="0"/>
              <w:jc w:val="center"/>
              <w:rPr>
                <w:rFonts w:hint="default" w:ascii="宋体" w:hAnsi="宋体" w:eastAsia="宋体"/>
                <w:sz w:val="24"/>
                <w:lang w:val="en-US" w:eastAsia="zh-CN"/>
              </w:rPr>
            </w:pPr>
            <w:r>
              <w:rPr>
                <w:rFonts w:hint="eastAsia" w:ascii="宋体" w:hAnsi="宋体"/>
                <w:sz w:val="24"/>
              </w:rPr>
              <w:t>≥</w:t>
            </w:r>
            <w:r>
              <w:rPr>
                <w:rFonts w:hint="eastAsia" w:ascii="宋体" w:hAnsi="宋体"/>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17" w:type="dxa"/>
            <w:noWrap w:val="0"/>
            <w:vAlign w:val="center"/>
          </w:tcPr>
          <w:p>
            <w:pPr>
              <w:ind w:firstLine="0" w:firstLineChars="0"/>
              <w:jc w:val="center"/>
              <w:rPr>
                <w:rFonts w:hint="eastAsia" w:ascii="宋体" w:hAnsi="宋体"/>
                <w:sz w:val="24"/>
              </w:rPr>
            </w:pPr>
            <w:r>
              <w:rPr>
                <w:rFonts w:hint="eastAsia" w:ascii="宋体" w:hAnsi="宋体"/>
                <w:sz w:val="24"/>
              </w:rPr>
              <w:t>27</w:t>
            </w:r>
          </w:p>
        </w:tc>
        <w:tc>
          <w:tcPr>
            <w:tcW w:w="4864" w:type="dxa"/>
            <w:noWrap w:val="0"/>
            <w:vAlign w:val="center"/>
          </w:tcPr>
          <w:p>
            <w:pPr>
              <w:ind w:firstLine="0" w:firstLineChars="0"/>
              <w:jc w:val="center"/>
              <w:rPr>
                <w:rFonts w:hint="eastAsia" w:ascii="宋体" w:hAnsi="宋体"/>
                <w:sz w:val="24"/>
              </w:rPr>
            </w:pPr>
            <w:r>
              <w:rPr>
                <w:rFonts w:hint="eastAsia" w:ascii="宋体" w:hAnsi="宋体"/>
                <w:sz w:val="24"/>
              </w:rPr>
              <w:t>推进健康细胞示范建设</w:t>
            </w:r>
          </w:p>
        </w:tc>
        <w:tc>
          <w:tcPr>
            <w:tcW w:w="2841" w:type="dxa"/>
            <w:noWrap w:val="0"/>
            <w:vAlign w:val="center"/>
          </w:tcPr>
          <w:p>
            <w:pPr>
              <w:ind w:firstLine="0" w:firstLineChars="0"/>
              <w:jc w:val="center"/>
              <w:rPr>
                <w:rFonts w:hint="eastAsia" w:ascii="宋体" w:hAnsi="宋体"/>
                <w:sz w:val="24"/>
              </w:rPr>
            </w:pPr>
            <w:r>
              <w:rPr>
                <w:rFonts w:hint="eastAsia" w:ascii="宋体" w:hAnsi="宋体"/>
                <w:sz w:val="24"/>
              </w:rPr>
              <w:t>建设率明显提升</w:t>
            </w:r>
          </w:p>
        </w:tc>
      </w:tr>
    </w:tbl>
    <w:p>
      <w:pPr>
        <w:jc w:val="both"/>
        <w:rPr>
          <w:rFonts w:hint="eastAsia" w:ascii="宋体" w:hAnsi="宋体"/>
          <w:b/>
          <w:sz w:val="28"/>
        </w:rPr>
      </w:pPr>
    </w:p>
    <w:p>
      <w:pPr>
        <w:pStyle w:val="6"/>
        <w:numPr>
          <w:ilvl w:val="0"/>
          <w:numId w:val="0"/>
        </w:numPr>
        <w:jc w:val="both"/>
        <w:rPr>
          <w:rFonts w:hint="default"/>
          <w:lang w:val="en-US" w:eastAsia="zh-CN"/>
        </w:rPr>
      </w:pPr>
    </w:p>
    <w:p>
      <w:pPr>
        <w:keepNext w:val="0"/>
        <w:keepLines w:val="0"/>
        <w:pageBreakBefore w:val="0"/>
        <w:widowControl w:val="0"/>
        <w:numPr>
          <w:ilvl w:val="0"/>
          <w:numId w:val="0"/>
        </w:numPr>
        <w:pBdr>
          <w:bottom w:val="single" w:color="FFFFFF" w:sz="4" w:space="17"/>
        </w:pBdr>
        <w:tabs>
          <w:tab w:val="left" w:pos="1440"/>
        </w:tabs>
        <w:kinsoku/>
        <w:wordWrap/>
        <w:overflowPunct/>
        <w:topLinePunct w:val="0"/>
        <w:autoSpaceDE/>
        <w:autoSpaceDN/>
        <w:adjustRightInd/>
        <w:snapToGrid/>
        <w:spacing w:before="0" w:beforeLines="0" w:beforeAutospacing="0" w:after="0" w:afterLines="0" w:afterAutospacing="0" w:line="600" w:lineRule="exact"/>
        <w:ind w:left="0" w:leftChars="0" w:right="0" w:firstLine="0" w:firstLineChars="0"/>
        <w:jc w:val="both"/>
        <w:textAlignment w:val="baseline"/>
        <w:outlineLvl w:val="9"/>
        <w:rPr>
          <w:rFonts w:hint="eastAsia" w:eastAsia="仿宋_GB2312"/>
          <w:color w:val="000000"/>
          <w:spacing w:val="0"/>
          <w:position w:val="14"/>
          <w:sz w:val="28"/>
          <w:lang w:val="en-US" w:eastAsia="zh-CN"/>
        </w:rPr>
      </w:pPr>
    </w:p>
    <w:p>
      <w:bookmarkStart w:id="0" w:name="_GoBack"/>
      <w:bookmarkEnd w:id="0"/>
    </w:p>
    <w:sectPr>
      <w:headerReference r:id="rId6" w:type="first"/>
      <w:footerReference r:id="rId8" w:type="first"/>
      <w:headerReference r:id="rId5" w:type="default"/>
      <w:footerReference r:id="rId7" w:type="default"/>
      <w:footnotePr>
        <w:numFmt w:val="decimalHalfWidth"/>
      </w:footnotePr>
      <w:endnotePr>
        <w:numFmt w:val="chineseCounting"/>
      </w:endnotePr>
      <w:pgSz w:w="11906" w:h="16838"/>
      <w:pgMar w:top="1440" w:right="1473" w:bottom="1440" w:left="1360" w:header="851" w:footer="992" w:gutter="0"/>
      <w:pgNumType w:fmt="decimal"/>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afterAutospacing="0"/>
      <w:ind w:firstLine="360" w:firstLineChars="200"/>
      <w:jc w:val="left"/>
    </w:pPr>
    <w:r>
      <w:fldChar w:fldCharType="begin"/>
    </w:r>
    <w:r>
      <w:instrText xml:space="preserve"> PAGE  </w:instrText>
    </w:r>
    <w:r>
      <w:fldChar w:fldCharType="separate"/>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BDB37F0"/>
    <w:rsid w:val="8BDB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heme="minorBidi"/>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格式"/>
    <w:qFormat/>
    <w:uiPriority w:val="0"/>
    <w:pPr>
      <w:spacing w:line="360" w:lineRule="auto"/>
      <w:ind w:firstLine="200" w:firstLineChars="200"/>
    </w:pPr>
    <w:rPr>
      <w:rFonts w:ascii="Times New Roman" w:hAnsi="Times New Roman" w:eastAsia="宋体" w:cstheme="minorBidi"/>
      <w:sz w:val="2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2021-10-08T15:53:00Z</dcterms:created>
  <dc:creator>xc-201009285</dc:creator>
  <cp:lastModifiedBy>xc-201009285</cp:lastModifiedBy>
  <dcterms:modified xsi:type="dcterms:W3CDTF">2021-10-08T15:53:53Z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